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8144" w14:textId="4A07A7FC" w:rsidR="00BA6A0F" w:rsidRPr="00BA6A0F" w:rsidRDefault="00BA6A0F" w:rsidP="00BA6A0F">
      <w:pPr>
        <w:spacing w:line="240" w:lineRule="auto"/>
        <w:rPr>
          <w:rFonts w:cstheme="minorHAnsi"/>
          <w:b/>
          <w:bCs/>
          <w:color w:val="222222"/>
          <w:sz w:val="28"/>
          <w:szCs w:val="28"/>
        </w:rPr>
      </w:pPr>
      <w:r w:rsidRPr="00BA6A0F">
        <w:rPr>
          <w:rFonts w:cstheme="minorHAnsi"/>
          <w:b/>
          <w:bCs/>
          <w:color w:val="222222"/>
          <w:sz w:val="28"/>
          <w:szCs w:val="28"/>
        </w:rPr>
        <w:t>CE Program Announcement: ASHP Alabama Residency Conference</w:t>
      </w:r>
      <w:r>
        <w:rPr>
          <w:rFonts w:cstheme="minorHAnsi"/>
          <w:b/>
          <w:bCs/>
          <w:color w:val="222222"/>
          <w:sz w:val="28"/>
          <w:szCs w:val="28"/>
        </w:rPr>
        <w:t xml:space="preserve"> 2023</w:t>
      </w:r>
    </w:p>
    <w:p w14:paraId="2342433A" w14:textId="4241A433" w:rsidR="00BA6A0F" w:rsidRPr="00BA6A0F" w:rsidRDefault="00BA6A0F">
      <w:pPr>
        <w:rPr>
          <w:rFonts w:cstheme="minorHAnsi"/>
          <w:b/>
          <w:bCs/>
          <w:color w:val="222222"/>
        </w:rPr>
      </w:pPr>
      <w:r w:rsidRPr="00BA6A0F">
        <w:rPr>
          <w:rFonts w:cstheme="minorHAnsi"/>
          <w:b/>
          <w:bCs/>
          <w:color w:val="222222"/>
        </w:rPr>
        <w:t>April 6, 2023, 12 Noon CDT</w:t>
      </w:r>
    </w:p>
    <w:p w14:paraId="1866D670" w14:textId="6245D124" w:rsidR="00314EF3" w:rsidRDefault="00BA6A0F">
      <w:pPr>
        <w:rPr>
          <w:rFonts w:ascii="Lato" w:hAnsi="Lato"/>
          <w:color w:val="222222"/>
          <w:sz w:val="18"/>
          <w:szCs w:val="18"/>
        </w:rPr>
      </w:pPr>
      <w:r>
        <w:rPr>
          <w:noProof/>
        </w:rPr>
        <w:drawing>
          <wp:anchor distT="0" distB="0" distL="114300" distR="114300" simplePos="0" relativeHeight="251658240" behindDoc="1" locked="0" layoutInCell="1" allowOverlap="1" wp14:anchorId="380D9664" wp14:editId="348C1AEA">
            <wp:simplePos x="0" y="0"/>
            <wp:positionH relativeFrom="column">
              <wp:posOffset>0</wp:posOffset>
            </wp:positionH>
            <wp:positionV relativeFrom="paragraph">
              <wp:posOffset>54610</wp:posOffset>
            </wp:positionV>
            <wp:extent cx="952500" cy="904875"/>
            <wp:effectExtent l="0" t="0" r="0" b="9525"/>
            <wp:wrapTight wrapText="bothSides">
              <wp:wrapPolygon edited="0">
                <wp:start x="0" y="0"/>
                <wp:lineTo x="0" y="21373"/>
                <wp:lineTo x="21168" y="21373"/>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V relativeFrom="margin">
              <wp14:pctHeight>0</wp14:pctHeight>
            </wp14:sizeRelV>
          </wp:anchor>
        </w:drawing>
      </w:r>
      <w:r w:rsidR="00314EF3">
        <w:rPr>
          <w:rFonts w:ascii="Lato" w:hAnsi="Lato"/>
          <w:color w:val="222222"/>
          <w:sz w:val="18"/>
          <w:szCs w:val="18"/>
        </w:rPr>
        <w:t>Alabama Society of Health-System Pharmacists is accredited by the Accreditation Council for Pharmacy Education (ACPE) as a provider of continuing pharmacy education.  Participants must pre-register, participate in the entire presentation, and complete the online course evaluation to receive continuing pharmacy education credit. Proof of participation will be posted to your NABP CPE profile within 60 days for participants who have successfully completed all requirements. There is [no fee] for ALSHP members to participate in this activity. Non-members fee: $25, which is refundable when joining ALSHP within 30 days of the program date. Participants in this activity are subject to the </w:t>
      </w:r>
      <w:hyperlink r:id="rId6" w:tgtFrame="_blank" w:history="1">
        <w:r w:rsidR="00314EF3">
          <w:rPr>
            <w:rStyle w:val="Hyperlink"/>
            <w:rFonts w:ascii="Lato" w:hAnsi="Lato"/>
            <w:color w:val="003B5F"/>
            <w:sz w:val="18"/>
            <w:szCs w:val="18"/>
          </w:rPr>
          <w:t>Terms and Conditions</w:t>
        </w:r>
      </w:hyperlink>
      <w:r w:rsidR="00314EF3">
        <w:rPr>
          <w:rFonts w:ascii="Lato" w:hAnsi="Lato"/>
          <w:color w:val="222222"/>
          <w:sz w:val="18"/>
          <w:szCs w:val="18"/>
        </w:rPr>
        <w:t> for ALSHP meetings and events. Contact </w:t>
      </w:r>
      <w:hyperlink r:id="rId7" w:tgtFrame="_blank" w:history="1">
        <w:r w:rsidR="00314EF3">
          <w:rPr>
            <w:rStyle w:val="Hyperlink"/>
            <w:rFonts w:ascii="Lato" w:hAnsi="Lato"/>
            <w:color w:val="003B5F"/>
            <w:sz w:val="18"/>
            <w:szCs w:val="18"/>
          </w:rPr>
          <w:t>mail@alshp.org</w:t>
        </w:r>
      </w:hyperlink>
      <w:r w:rsidR="00314EF3">
        <w:rPr>
          <w:rFonts w:ascii="Lato" w:hAnsi="Lato"/>
          <w:color w:val="222222"/>
          <w:sz w:val="18"/>
          <w:szCs w:val="18"/>
        </w:rPr>
        <w:t xml:space="preserve"> for questions about this CPE activity. </w:t>
      </w:r>
      <w:r w:rsidR="00314EF3">
        <w:rPr>
          <w:rFonts w:ascii="Lato" w:hAnsi="Lato"/>
          <w:color w:val="222222"/>
          <w:sz w:val="18"/>
          <w:szCs w:val="18"/>
        </w:rPr>
        <w:t>These knowledge-based activities are intended for pharmacists.</w:t>
      </w:r>
    </w:p>
    <w:p w14:paraId="741140CE" w14:textId="77777777" w:rsidR="00314EF3" w:rsidRDefault="00314EF3">
      <w:pPr>
        <w:rPr>
          <w:rFonts w:ascii="Lato" w:hAnsi="Lato"/>
          <w:color w:val="222222"/>
          <w:sz w:val="18"/>
          <w:szCs w:val="18"/>
        </w:rPr>
      </w:pPr>
    </w:p>
    <w:tbl>
      <w:tblPr>
        <w:tblStyle w:val="TableGrid"/>
        <w:tblW w:w="0" w:type="auto"/>
        <w:tblLook w:val="04A0" w:firstRow="1" w:lastRow="0" w:firstColumn="1" w:lastColumn="0" w:noHBand="0" w:noVBand="1"/>
      </w:tblPr>
      <w:tblGrid>
        <w:gridCol w:w="1795"/>
        <w:gridCol w:w="2970"/>
        <w:gridCol w:w="4500"/>
        <w:gridCol w:w="1095"/>
        <w:gridCol w:w="2590"/>
      </w:tblGrid>
      <w:tr w:rsidR="00314EF3" w14:paraId="70DF83B1" w14:textId="77777777" w:rsidTr="00BA6A0F">
        <w:tc>
          <w:tcPr>
            <w:tcW w:w="1795" w:type="dxa"/>
          </w:tcPr>
          <w:p w14:paraId="10956429" w14:textId="17AF128C" w:rsidR="00314EF3" w:rsidRDefault="00314EF3">
            <w:r>
              <w:t>Session Number</w:t>
            </w:r>
            <w:r w:rsidR="00181FA0">
              <w:t>/ Time</w:t>
            </w:r>
          </w:p>
        </w:tc>
        <w:tc>
          <w:tcPr>
            <w:tcW w:w="2970" w:type="dxa"/>
          </w:tcPr>
          <w:p w14:paraId="4E3020AE" w14:textId="7B480B14" w:rsidR="00314EF3" w:rsidRDefault="00314EF3">
            <w:r>
              <w:t>Presenters</w:t>
            </w:r>
          </w:p>
        </w:tc>
        <w:tc>
          <w:tcPr>
            <w:tcW w:w="4500" w:type="dxa"/>
          </w:tcPr>
          <w:p w14:paraId="27629E5C" w14:textId="7DD55D18" w:rsidR="00314EF3" w:rsidRDefault="00B407F6">
            <w:r>
              <w:rPr>
                <w:rFonts w:ascii="Arial" w:hAnsi="Arial" w:cs="Arial"/>
                <w:kern w:val="0"/>
                <w:sz w:val="16"/>
                <w:szCs w:val="16"/>
              </w:rPr>
              <w:t xml:space="preserve">At the completion of </w:t>
            </w:r>
            <w:r>
              <w:rPr>
                <w:rFonts w:ascii="Arial" w:hAnsi="Arial" w:cs="Arial"/>
                <w:kern w:val="0"/>
                <w:sz w:val="16"/>
                <w:szCs w:val="16"/>
              </w:rPr>
              <w:t>these activities</w:t>
            </w:r>
            <w:r>
              <w:rPr>
                <w:rFonts w:ascii="Arial" w:hAnsi="Arial" w:cs="Arial"/>
                <w:kern w:val="0"/>
                <w:sz w:val="16"/>
                <w:szCs w:val="16"/>
              </w:rPr>
              <w:t>, the participant</w:t>
            </w:r>
            <w:r>
              <w:rPr>
                <w:rFonts w:ascii="Arial" w:hAnsi="Arial" w:cs="Arial"/>
                <w:kern w:val="0"/>
                <w:sz w:val="16"/>
                <w:szCs w:val="16"/>
              </w:rPr>
              <w:t>s</w:t>
            </w:r>
            <w:r>
              <w:rPr>
                <w:rFonts w:ascii="Arial" w:hAnsi="Arial" w:cs="Arial"/>
                <w:kern w:val="0"/>
                <w:sz w:val="16"/>
                <w:szCs w:val="16"/>
              </w:rPr>
              <w:t xml:space="preserve"> will be able to:</w:t>
            </w:r>
          </w:p>
        </w:tc>
        <w:tc>
          <w:tcPr>
            <w:tcW w:w="1095" w:type="dxa"/>
          </w:tcPr>
          <w:p w14:paraId="0D61FF86" w14:textId="232B0F8E" w:rsidR="00314EF3" w:rsidRPr="00314EF3" w:rsidRDefault="00314EF3">
            <w:pPr>
              <w:rPr>
                <w:sz w:val="16"/>
                <w:szCs w:val="16"/>
              </w:rPr>
            </w:pPr>
            <w:r w:rsidRPr="00314EF3">
              <w:rPr>
                <w:sz w:val="16"/>
                <w:szCs w:val="16"/>
              </w:rPr>
              <w:t>CE Credit, Contact hours</w:t>
            </w:r>
          </w:p>
        </w:tc>
        <w:tc>
          <w:tcPr>
            <w:tcW w:w="2590" w:type="dxa"/>
          </w:tcPr>
          <w:p w14:paraId="039471D4" w14:textId="4E141D12" w:rsidR="00314EF3" w:rsidRDefault="00314EF3">
            <w:r>
              <w:t>UAN</w:t>
            </w:r>
          </w:p>
        </w:tc>
      </w:tr>
      <w:tr w:rsidR="00314EF3" w14:paraId="13E31C96" w14:textId="77777777" w:rsidTr="00BA6A0F">
        <w:tc>
          <w:tcPr>
            <w:tcW w:w="1795" w:type="dxa"/>
          </w:tcPr>
          <w:p w14:paraId="23C6651D" w14:textId="77777777" w:rsidR="00181FA0" w:rsidRPr="00181FA0" w:rsidRDefault="00314EF3">
            <w:pPr>
              <w:rPr>
                <w:b/>
                <w:bCs/>
              </w:rPr>
            </w:pPr>
            <w:r w:rsidRPr="00181FA0">
              <w:rPr>
                <w:b/>
                <w:bCs/>
              </w:rPr>
              <w:t>1-1</w:t>
            </w:r>
            <w:r w:rsidR="00181FA0" w:rsidRPr="00181FA0">
              <w:rPr>
                <w:b/>
                <w:bCs/>
              </w:rPr>
              <w:t xml:space="preserve"> </w:t>
            </w:r>
          </w:p>
          <w:p w14:paraId="49CC078D" w14:textId="0D21DBBC" w:rsidR="00314EF3" w:rsidRDefault="00181FA0">
            <w:r>
              <w:t>12:00</w:t>
            </w:r>
          </w:p>
        </w:tc>
        <w:tc>
          <w:tcPr>
            <w:tcW w:w="2970" w:type="dxa"/>
          </w:tcPr>
          <w:p w14:paraId="0888D657" w14:textId="05AF160B" w:rsidR="00314EF3" w:rsidRDefault="00314EF3" w:rsidP="00314EF3">
            <w:pPr>
              <w:spacing w:after="0" w:line="240" w:lineRule="auto"/>
            </w:pPr>
            <w:r>
              <w:t>Savannah Jones</w:t>
            </w:r>
            <w:r>
              <w:t>, PharmD</w:t>
            </w:r>
          </w:p>
          <w:p w14:paraId="04938247" w14:textId="42A81705" w:rsidR="00314EF3" w:rsidRDefault="00314EF3" w:rsidP="00314EF3">
            <w:pPr>
              <w:spacing w:after="0" w:line="240" w:lineRule="auto"/>
            </w:pPr>
            <w:r>
              <w:t>Lindsay Allison</w:t>
            </w:r>
            <w:r>
              <w:t>, PharmD</w:t>
            </w:r>
          </w:p>
          <w:p w14:paraId="29F999E3" w14:textId="0A2659B1" w:rsidR="00314EF3" w:rsidRDefault="00314EF3" w:rsidP="00314EF3">
            <w:pPr>
              <w:spacing w:after="0" w:line="240" w:lineRule="auto"/>
            </w:pPr>
            <w:r>
              <w:t>Gracelyn Wade</w:t>
            </w:r>
            <w:r>
              <w:t>, PharmD</w:t>
            </w:r>
          </w:p>
          <w:p w14:paraId="334A7594" w14:textId="4DF31F61" w:rsidR="00314EF3" w:rsidRDefault="00314EF3" w:rsidP="00314EF3">
            <w:r>
              <w:t>Charles Hartley</w:t>
            </w:r>
            <w:r>
              <w:t>, PharmD</w:t>
            </w:r>
          </w:p>
        </w:tc>
        <w:tc>
          <w:tcPr>
            <w:tcW w:w="4500" w:type="dxa"/>
          </w:tcPr>
          <w:p w14:paraId="14345F3E" w14:textId="77777777" w:rsidR="00314EF3" w:rsidRPr="00314EF3" w:rsidRDefault="00314EF3" w:rsidP="00314EF3">
            <w:pPr>
              <w:pStyle w:val="ListParagraph"/>
              <w:numPr>
                <w:ilvl w:val="0"/>
                <w:numId w:val="1"/>
              </w:numPr>
              <w:autoSpaceDE w:val="0"/>
              <w:autoSpaceDN w:val="0"/>
              <w:adjustRightInd w:val="0"/>
              <w:rPr>
                <w:rFonts w:ascii="Arial" w:hAnsi="Arial" w:cs="Arial"/>
                <w:kern w:val="0"/>
                <w:sz w:val="16"/>
                <w:szCs w:val="16"/>
              </w:rPr>
            </w:pPr>
            <w:r w:rsidRPr="00314EF3">
              <w:rPr>
                <w:rFonts w:ascii="Arial" w:hAnsi="Arial" w:cs="Arial"/>
                <w:kern w:val="0"/>
                <w:sz w:val="16"/>
                <w:szCs w:val="16"/>
              </w:rPr>
              <w:t>Understand the potential drug interactions associated with melatonin.</w:t>
            </w:r>
          </w:p>
          <w:p w14:paraId="20F68C88" w14:textId="47904C2A" w:rsidR="00314EF3" w:rsidRPr="00BA6A0F" w:rsidRDefault="00314EF3" w:rsidP="00314EF3">
            <w:pPr>
              <w:pStyle w:val="ListParagraph"/>
              <w:numPr>
                <w:ilvl w:val="0"/>
                <w:numId w:val="1"/>
              </w:numPr>
              <w:autoSpaceDE w:val="0"/>
              <w:autoSpaceDN w:val="0"/>
              <w:adjustRightInd w:val="0"/>
              <w:rPr>
                <w:rFonts w:ascii="Arial" w:hAnsi="Arial" w:cs="Arial"/>
                <w:kern w:val="0"/>
                <w:sz w:val="16"/>
                <w:szCs w:val="16"/>
              </w:rPr>
            </w:pPr>
            <w:r w:rsidRPr="00BA6A0F">
              <w:rPr>
                <w:rFonts w:ascii="Arial" w:hAnsi="Arial" w:cs="Arial"/>
                <w:kern w:val="0"/>
                <w:sz w:val="16"/>
                <w:szCs w:val="16"/>
              </w:rPr>
              <w:t>Discuss the changes in antibiotic regimens in patients diagnosed with staphylococcal scalded skin syndrome at</w:t>
            </w:r>
            <w:r w:rsidR="00BA6A0F" w:rsidRPr="00BA6A0F">
              <w:rPr>
                <w:rFonts w:ascii="Arial" w:hAnsi="Arial" w:cs="Arial"/>
                <w:kern w:val="0"/>
                <w:sz w:val="16"/>
                <w:szCs w:val="16"/>
              </w:rPr>
              <w:t xml:space="preserve"> </w:t>
            </w:r>
            <w:r w:rsidRPr="00BA6A0F">
              <w:rPr>
                <w:rFonts w:ascii="Arial" w:hAnsi="Arial" w:cs="Arial"/>
                <w:kern w:val="0"/>
                <w:sz w:val="16"/>
                <w:szCs w:val="16"/>
              </w:rPr>
              <w:t>Children's of Alabama in the past 10 years.</w:t>
            </w:r>
          </w:p>
          <w:p w14:paraId="04DDAB55" w14:textId="77777777" w:rsidR="00BA6A0F" w:rsidRPr="00BA6A0F" w:rsidRDefault="00314EF3" w:rsidP="00BA6A0F">
            <w:pPr>
              <w:pStyle w:val="ListParagraph"/>
              <w:numPr>
                <w:ilvl w:val="0"/>
                <w:numId w:val="1"/>
              </w:numPr>
              <w:autoSpaceDE w:val="0"/>
              <w:autoSpaceDN w:val="0"/>
              <w:adjustRightInd w:val="0"/>
            </w:pPr>
            <w:r w:rsidRPr="00314EF3">
              <w:rPr>
                <w:rFonts w:ascii="Arial" w:hAnsi="Arial" w:cs="Arial"/>
                <w:kern w:val="0"/>
                <w:sz w:val="16"/>
                <w:szCs w:val="16"/>
              </w:rPr>
              <w:t>Discuss the effects of implementing a standardized vitamin D repletion protocol in the renal transplant population</w:t>
            </w:r>
          </w:p>
          <w:p w14:paraId="4A8D81F0" w14:textId="33CE1A8F" w:rsidR="00314EF3" w:rsidRDefault="00314EF3" w:rsidP="00BA6A0F">
            <w:pPr>
              <w:pStyle w:val="ListParagraph"/>
              <w:numPr>
                <w:ilvl w:val="0"/>
                <w:numId w:val="1"/>
              </w:numPr>
              <w:autoSpaceDE w:val="0"/>
              <w:autoSpaceDN w:val="0"/>
              <w:adjustRightInd w:val="0"/>
            </w:pPr>
            <w:r w:rsidRPr="00314EF3">
              <w:rPr>
                <w:rFonts w:ascii="Arial" w:hAnsi="Arial" w:cs="Arial"/>
                <w:kern w:val="0"/>
                <w:sz w:val="16"/>
                <w:szCs w:val="16"/>
              </w:rPr>
              <w:t>Recommend an appropriate treatment option for UTIs caused by vancomycin-resistant enterococci (VRE)</w:t>
            </w:r>
          </w:p>
        </w:tc>
        <w:tc>
          <w:tcPr>
            <w:tcW w:w="1095" w:type="dxa"/>
          </w:tcPr>
          <w:p w14:paraId="31BE9F7E" w14:textId="77F14404" w:rsidR="00314EF3" w:rsidRDefault="00314EF3">
            <w:r>
              <w:t xml:space="preserve">1 </w:t>
            </w:r>
          </w:p>
        </w:tc>
        <w:tc>
          <w:tcPr>
            <w:tcW w:w="2590" w:type="dxa"/>
          </w:tcPr>
          <w:p w14:paraId="78F96D4D" w14:textId="706D57A6" w:rsidR="00314EF3" w:rsidRDefault="00314EF3">
            <w:r>
              <w:rPr>
                <w:rFonts w:ascii="Arial" w:hAnsi="Arial" w:cs="Arial"/>
                <w:b/>
                <w:bCs/>
                <w:kern w:val="0"/>
                <w:sz w:val="16"/>
                <w:szCs w:val="16"/>
              </w:rPr>
              <w:t>0172-0000-23-005-L01-P</w:t>
            </w:r>
          </w:p>
        </w:tc>
      </w:tr>
      <w:tr w:rsidR="00314EF3" w14:paraId="453B3CF4" w14:textId="77777777" w:rsidTr="00BA6A0F">
        <w:tc>
          <w:tcPr>
            <w:tcW w:w="1795" w:type="dxa"/>
          </w:tcPr>
          <w:p w14:paraId="2931B7CB" w14:textId="77777777" w:rsidR="00314EF3" w:rsidRPr="00181FA0" w:rsidRDefault="00314EF3">
            <w:pPr>
              <w:rPr>
                <w:b/>
                <w:bCs/>
              </w:rPr>
            </w:pPr>
            <w:r w:rsidRPr="00181FA0">
              <w:rPr>
                <w:b/>
                <w:bCs/>
              </w:rPr>
              <w:t>1-2</w:t>
            </w:r>
          </w:p>
          <w:p w14:paraId="0ACC527B" w14:textId="38B8EA26" w:rsidR="00181FA0" w:rsidRDefault="00181FA0">
            <w:r>
              <w:t>13:05</w:t>
            </w:r>
          </w:p>
        </w:tc>
        <w:tc>
          <w:tcPr>
            <w:tcW w:w="2970" w:type="dxa"/>
          </w:tcPr>
          <w:p w14:paraId="1CE3117E" w14:textId="72A59E33" w:rsidR="00314EF3" w:rsidRDefault="00314EF3" w:rsidP="00314EF3">
            <w:pPr>
              <w:spacing w:after="0" w:line="240" w:lineRule="auto"/>
            </w:pPr>
            <w:r>
              <w:t>Makayla Garcia, PharmD</w:t>
            </w:r>
          </w:p>
          <w:p w14:paraId="4E22DCB3" w14:textId="19334A81" w:rsidR="00314EF3" w:rsidRDefault="00314EF3" w:rsidP="00314EF3">
            <w:pPr>
              <w:spacing w:after="0" w:line="240" w:lineRule="auto"/>
            </w:pPr>
            <w:r>
              <w:t xml:space="preserve">Cate </w:t>
            </w:r>
            <w:proofErr w:type="spellStart"/>
            <w:r>
              <w:t>Ankersen</w:t>
            </w:r>
            <w:proofErr w:type="spellEnd"/>
            <w:r>
              <w:t>, PharmD</w:t>
            </w:r>
          </w:p>
          <w:p w14:paraId="2A799545" w14:textId="37495483" w:rsidR="00314EF3" w:rsidRDefault="00314EF3" w:rsidP="00314EF3">
            <w:pPr>
              <w:spacing w:after="0" w:line="240" w:lineRule="auto"/>
            </w:pPr>
            <w:r>
              <w:t>Amanda Sweat, PharmD</w:t>
            </w:r>
          </w:p>
          <w:p w14:paraId="5B84DDB2" w14:textId="3041C146" w:rsidR="00314EF3" w:rsidRDefault="00314EF3" w:rsidP="00314EF3">
            <w:r>
              <w:t>Linda Tran, PharmD</w:t>
            </w:r>
          </w:p>
        </w:tc>
        <w:tc>
          <w:tcPr>
            <w:tcW w:w="4500" w:type="dxa"/>
          </w:tcPr>
          <w:p w14:paraId="76DC135A" w14:textId="10E878E8" w:rsidR="00314EF3" w:rsidRPr="00BA6A0F" w:rsidRDefault="00314EF3" w:rsidP="00314EF3">
            <w:pPr>
              <w:pStyle w:val="ListParagraph"/>
              <w:numPr>
                <w:ilvl w:val="0"/>
                <w:numId w:val="2"/>
              </w:numPr>
              <w:autoSpaceDE w:val="0"/>
              <w:autoSpaceDN w:val="0"/>
              <w:adjustRightInd w:val="0"/>
              <w:rPr>
                <w:rFonts w:ascii="Arial" w:hAnsi="Arial" w:cs="Arial"/>
                <w:kern w:val="0"/>
                <w:sz w:val="16"/>
                <w:szCs w:val="16"/>
              </w:rPr>
            </w:pPr>
            <w:r w:rsidRPr="00BA6A0F">
              <w:rPr>
                <w:rFonts w:ascii="Arial" w:hAnsi="Arial" w:cs="Arial"/>
                <w:kern w:val="0"/>
                <w:sz w:val="16"/>
                <w:szCs w:val="16"/>
              </w:rPr>
              <w:t>Evaluate current medication reconciliation process by nursing and pharmacy. Data will be used to identify areas</w:t>
            </w:r>
            <w:r w:rsidR="00BA6A0F" w:rsidRPr="00BA6A0F">
              <w:rPr>
                <w:rFonts w:ascii="Arial" w:hAnsi="Arial" w:cs="Arial"/>
                <w:kern w:val="0"/>
                <w:sz w:val="16"/>
                <w:szCs w:val="16"/>
              </w:rPr>
              <w:t xml:space="preserve"> </w:t>
            </w:r>
            <w:r w:rsidRPr="00BA6A0F">
              <w:rPr>
                <w:rFonts w:ascii="Arial" w:hAnsi="Arial" w:cs="Arial"/>
                <w:kern w:val="0"/>
                <w:sz w:val="16"/>
                <w:szCs w:val="16"/>
              </w:rPr>
              <w:t>where additional resources are needed.</w:t>
            </w:r>
          </w:p>
          <w:p w14:paraId="73DF628C" w14:textId="77777777" w:rsidR="00314EF3" w:rsidRPr="00314EF3" w:rsidRDefault="00314EF3" w:rsidP="00314EF3">
            <w:pPr>
              <w:pStyle w:val="ListParagraph"/>
              <w:numPr>
                <w:ilvl w:val="0"/>
                <w:numId w:val="2"/>
              </w:numPr>
              <w:autoSpaceDE w:val="0"/>
              <w:autoSpaceDN w:val="0"/>
              <w:adjustRightInd w:val="0"/>
              <w:rPr>
                <w:rFonts w:ascii="Arial" w:hAnsi="Arial" w:cs="Arial"/>
                <w:kern w:val="0"/>
                <w:sz w:val="16"/>
                <w:szCs w:val="16"/>
              </w:rPr>
            </w:pPr>
            <w:r w:rsidRPr="00314EF3">
              <w:rPr>
                <w:rFonts w:ascii="Arial" w:hAnsi="Arial" w:cs="Arial"/>
                <w:kern w:val="0"/>
                <w:sz w:val="16"/>
                <w:szCs w:val="16"/>
              </w:rPr>
              <w:t>Understand the role of oncology pharmacy specialists.</w:t>
            </w:r>
          </w:p>
          <w:p w14:paraId="02A43861" w14:textId="69B4E031" w:rsidR="00314EF3" w:rsidRPr="00BA6A0F" w:rsidRDefault="00314EF3" w:rsidP="00314EF3">
            <w:pPr>
              <w:pStyle w:val="ListParagraph"/>
              <w:numPr>
                <w:ilvl w:val="0"/>
                <w:numId w:val="2"/>
              </w:numPr>
              <w:autoSpaceDE w:val="0"/>
              <w:autoSpaceDN w:val="0"/>
              <w:adjustRightInd w:val="0"/>
              <w:rPr>
                <w:rFonts w:ascii="Arial" w:hAnsi="Arial" w:cs="Arial"/>
                <w:kern w:val="0"/>
                <w:sz w:val="16"/>
                <w:szCs w:val="16"/>
              </w:rPr>
            </w:pPr>
            <w:r w:rsidRPr="00BA6A0F">
              <w:rPr>
                <w:rFonts w:ascii="Arial" w:hAnsi="Arial" w:cs="Arial"/>
                <w:kern w:val="0"/>
                <w:sz w:val="16"/>
                <w:szCs w:val="16"/>
              </w:rPr>
              <w:t>Discuss and evaluate the safety and efficacy of once-daily versus twice-daily insulin glargine in acutely ill</w:t>
            </w:r>
            <w:r w:rsidR="00BA6A0F" w:rsidRPr="00BA6A0F">
              <w:rPr>
                <w:rFonts w:ascii="Arial" w:hAnsi="Arial" w:cs="Arial"/>
                <w:kern w:val="0"/>
                <w:sz w:val="16"/>
                <w:szCs w:val="16"/>
              </w:rPr>
              <w:t xml:space="preserve"> </w:t>
            </w:r>
            <w:r w:rsidRPr="00BA6A0F">
              <w:rPr>
                <w:rFonts w:ascii="Arial" w:hAnsi="Arial" w:cs="Arial"/>
                <w:kern w:val="0"/>
                <w:sz w:val="16"/>
                <w:szCs w:val="16"/>
              </w:rPr>
              <w:t>medical patients and to identify patient characteristics associated with once-daily versus twice-daily dosing.</w:t>
            </w:r>
          </w:p>
          <w:p w14:paraId="1339EB88" w14:textId="037678B8" w:rsidR="00314EF3" w:rsidRDefault="00314EF3" w:rsidP="00314EF3">
            <w:pPr>
              <w:pStyle w:val="ListParagraph"/>
              <w:numPr>
                <w:ilvl w:val="0"/>
                <w:numId w:val="2"/>
              </w:numPr>
              <w:autoSpaceDE w:val="0"/>
              <w:autoSpaceDN w:val="0"/>
              <w:adjustRightInd w:val="0"/>
            </w:pPr>
            <w:r w:rsidRPr="00314EF3">
              <w:rPr>
                <w:rFonts w:ascii="Arial" w:hAnsi="Arial" w:cs="Arial"/>
                <w:kern w:val="0"/>
                <w:sz w:val="16"/>
                <w:szCs w:val="16"/>
              </w:rPr>
              <w:t>Recognize risk factors identified more frequently in patients with methicillin-resistant Staphylococcus aureus</w:t>
            </w:r>
            <w:r>
              <w:rPr>
                <w:rFonts w:ascii="Arial" w:hAnsi="Arial" w:cs="Arial"/>
                <w:kern w:val="0"/>
                <w:sz w:val="16"/>
                <w:szCs w:val="16"/>
              </w:rPr>
              <w:t xml:space="preserve"> </w:t>
            </w:r>
            <w:r w:rsidRPr="00314EF3">
              <w:rPr>
                <w:rFonts w:ascii="Arial" w:hAnsi="Arial" w:cs="Arial"/>
                <w:kern w:val="0"/>
                <w:sz w:val="16"/>
                <w:szCs w:val="16"/>
              </w:rPr>
              <w:t>community-acquired pneumonia.</w:t>
            </w:r>
          </w:p>
        </w:tc>
        <w:tc>
          <w:tcPr>
            <w:tcW w:w="1095" w:type="dxa"/>
          </w:tcPr>
          <w:p w14:paraId="300D692B" w14:textId="47028504" w:rsidR="00314EF3" w:rsidRDefault="00BA6A0F">
            <w:r>
              <w:t>1</w:t>
            </w:r>
          </w:p>
        </w:tc>
        <w:tc>
          <w:tcPr>
            <w:tcW w:w="2590" w:type="dxa"/>
          </w:tcPr>
          <w:p w14:paraId="0D886945" w14:textId="449D3569" w:rsidR="00314EF3" w:rsidRDefault="00BA6A0F">
            <w:r>
              <w:rPr>
                <w:rFonts w:ascii="Arial" w:hAnsi="Arial" w:cs="Arial"/>
                <w:b/>
                <w:bCs/>
                <w:kern w:val="0"/>
                <w:sz w:val="16"/>
                <w:szCs w:val="16"/>
              </w:rPr>
              <w:t>0172-0000-23-006-L01-P</w:t>
            </w:r>
          </w:p>
        </w:tc>
      </w:tr>
      <w:tr w:rsidR="00314EF3" w14:paraId="0BFAB836" w14:textId="77777777" w:rsidTr="00BA6A0F">
        <w:tc>
          <w:tcPr>
            <w:tcW w:w="1795" w:type="dxa"/>
          </w:tcPr>
          <w:p w14:paraId="51C40F29" w14:textId="77777777" w:rsidR="00314EF3" w:rsidRDefault="00BA6A0F">
            <w:pPr>
              <w:rPr>
                <w:b/>
                <w:bCs/>
              </w:rPr>
            </w:pPr>
            <w:r w:rsidRPr="00181FA0">
              <w:rPr>
                <w:b/>
                <w:bCs/>
              </w:rPr>
              <w:t>1-3</w:t>
            </w:r>
          </w:p>
          <w:p w14:paraId="0C9E4206" w14:textId="0D850963" w:rsidR="00181FA0" w:rsidRPr="00181FA0" w:rsidRDefault="00181FA0">
            <w:r w:rsidRPr="00181FA0">
              <w:t>14:15</w:t>
            </w:r>
          </w:p>
        </w:tc>
        <w:tc>
          <w:tcPr>
            <w:tcW w:w="2970" w:type="dxa"/>
          </w:tcPr>
          <w:p w14:paraId="38EB85E0" w14:textId="55F814DB" w:rsidR="00BA6A0F" w:rsidRDefault="00BA6A0F" w:rsidP="00BA6A0F">
            <w:pPr>
              <w:spacing w:after="0" w:line="240" w:lineRule="auto"/>
            </w:pPr>
            <w:r>
              <w:t>Brianna Gray, PharmD</w:t>
            </w:r>
          </w:p>
          <w:p w14:paraId="3E7BC25C" w14:textId="2AB61CC4" w:rsidR="00BA6A0F" w:rsidRDefault="00BA6A0F" w:rsidP="00BA6A0F">
            <w:pPr>
              <w:spacing w:after="0" w:line="240" w:lineRule="auto"/>
            </w:pPr>
            <w:r>
              <w:t>Ashlee Milam, PharmD</w:t>
            </w:r>
          </w:p>
          <w:p w14:paraId="2CDC110D" w14:textId="43EB4028" w:rsidR="00BA6A0F" w:rsidRDefault="00BA6A0F" w:rsidP="00BA6A0F">
            <w:pPr>
              <w:spacing w:after="0" w:line="240" w:lineRule="auto"/>
            </w:pPr>
            <w:r>
              <w:t>Emilee Howard, PharmD</w:t>
            </w:r>
          </w:p>
          <w:p w14:paraId="2E578A71" w14:textId="73BFD171" w:rsidR="00314EF3" w:rsidRDefault="00BA6A0F" w:rsidP="00BA6A0F">
            <w:r>
              <w:t>Jay Pitt, PharmD</w:t>
            </w:r>
          </w:p>
        </w:tc>
        <w:tc>
          <w:tcPr>
            <w:tcW w:w="4500" w:type="dxa"/>
          </w:tcPr>
          <w:p w14:paraId="40461771" w14:textId="77777777" w:rsidR="00BA6A0F" w:rsidRDefault="00BA6A0F" w:rsidP="00BA6A0F">
            <w:pPr>
              <w:pStyle w:val="ListParagraph"/>
              <w:numPr>
                <w:ilvl w:val="0"/>
                <w:numId w:val="3"/>
              </w:numPr>
              <w:autoSpaceDE w:val="0"/>
              <w:autoSpaceDN w:val="0"/>
              <w:adjustRightInd w:val="0"/>
              <w:rPr>
                <w:rFonts w:ascii="Arial" w:hAnsi="Arial" w:cs="Arial"/>
                <w:kern w:val="0"/>
                <w:sz w:val="16"/>
                <w:szCs w:val="16"/>
              </w:rPr>
            </w:pPr>
            <w:r w:rsidRPr="00BA6A0F">
              <w:rPr>
                <w:rFonts w:ascii="Arial" w:hAnsi="Arial" w:cs="Arial"/>
                <w:kern w:val="0"/>
                <w:sz w:val="16"/>
                <w:szCs w:val="16"/>
              </w:rPr>
              <w:t xml:space="preserve">Evaluate the impact of the addition of milrinone to </w:t>
            </w:r>
            <w:proofErr w:type="spellStart"/>
            <w:r w:rsidRPr="00BA6A0F">
              <w:rPr>
                <w:rFonts w:ascii="Arial" w:hAnsi="Arial" w:cs="Arial"/>
                <w:kern w:val="0"/>
                <w:sz w:val="16"/>
                <w:szCs w:val="16"/>
              </w:rPr>
              <w:t>iNO</w:t>
            </w:r>
            <w:proofErr w:type="spellEnd"/>
            <w:r w:rsidRPr="00BA6A0F">
              <w:rPr>
                <w:rFonts w:ascii="Arial" w:hAnsi="Arial" w:cs="Arial"/>
                <w:kern w:val="0"/>
                <w:sz w:val="16"/>
                <w:szCs w:val="16"/>
              </w:rPr>
              <w:t xml:space="preserve"> for the treatment of Persistent Pulmonary Hypertension of</w:t>
            </w:r>
            <w:r w:rsidRPr="00BA6A0F">
              <w:rPr>
                <w:rFonts w:ascii="Arial" w:hAnsi="Arial" w:cs="Arial"/>
                <w:kern w:val="0"/>
                <w:sz w:val="16"/>
                <w:szCs w:val="16"/>
              </w:rPr>
              <w:t xml:space="preserve"> </w:t>
            </w:r>
            <w:r w:rsidRPr="00BA6A0F">
              <w:rPr>
                <w:rFonts w:ascii="Arial" w:hAnsi="Arial" w:cs="Arial"/>
                <w:kern w:val="0"/>
                <w:sz w:val="16"/>
                <w:szCs w:val="16"/>
              </w:rPr>
              <w:t>the Newborn.</w:t>
            </w:r>
          </w:p>
          <w:p w14:paraId="20325545" w14:textId="6102B77D" w:rsidR="00BA6A0F" w:rsidRPr="00BA6A0F" w:rsidRDefault="00BA6A0F" w:rsidP="00BA6A0F">
            <w:pPr>
              <w:pStyle w:val="ListParagraph"/>
              <w:numPr>
                <w:ilvl w:val="0"/>
                <w:numId w:val="3"/>
              </w:numPr>
              <w:autoSpaceDE w:val="0"/>
              <w:autoSpaceDN w:val="0"/>
              <w:adjustRightInd w:val="0"/>
              <w:rPr>
                <w:rFonts w:ascii="Arial" w:hAnsi="Arial" w:cs="Arial"/>
                <w:kern w:val="0"/>
                <w:sz w:val="16"/>
                <w:szCs w:val="16"/>
              </w:rPr>
            </w:pPr>
            <w:r>
              <w:rPr>
                <w:rFonts w:ascii="Arial" w:hAnsi="Arial" w:cs="Arial"/>
                <w:kern w:val="0"/>
                <w:sz w:val="16"/>
                <w:szCs w:val="16"/>
              </w:rPr>
              <w:t>D</w:t>
            </w:r>
            <w:r w:rsidRPr="00BA6A0F">
              <w:rPr>
                <w:rFonts w:ascii="Arial" w:hAnsi="Arial" w:cs="Arial"/>
                <w:kern w:val="0"/>
                <w:sz w:val="16"/>
                <w:szCs w:val="16"/>
              </w:rPr>
              <w:t>iscuss current practices in management of sepsis in the emergency department within a community hospital.</w:t>
            </w:r>
          </w:p>
          <w:p w14:paraId="59FC3A99" w14:textId="77777777" w:rsidR="00BA6A0F" w:rsidRPr="00BA6A0F" w:rsidRDefault="00BA6A0F" w:rsidP="00BA6A0F">
            <w:pPr>
              <w:pStyle w:val="ListParagraph"/>
              <w:numPr>
                <w:ilvl w:val="0"/>
                <w:numId w:val="3"/>
              </w:numPr>
              <w:autoSpaceDE w:val="0"/>
              <w:autoSpaceDN w:val="0"/>
              <w:adjustRightInd w:val="0"/>
            </w:pPr>
            <w:r w:rsidRPr="00BA6A0F">
              <w:rPr>
                <w:rFonts w:ascii="Arial" w:hAnsi="Arial" w:cs="Arial"/>
                <w:kern w:val="0"/>
                <w:sz w:val="16"/>
                <w:szCs w:val="16"/>
              </w:rPr>
              <w:lastRenderedPageBreak/>
              <w:t>Evaluate the number of eligible trauma patients who received tranexamic acid prior to the massive transfusion</w:t>
            </w:r>
            <w:r w:rsidRPr="00BA6A0F">
              <w:rPr>
                <w:rFonts w:ascii="Arial" w:hAnsi="Arial" w:cs="Arial"/>
                <w:kern w:val="0"/>
                <w:sz w:val="16"/>
                <w:szCs w:val="16"/>
              </w:rPr>
              <w:t xml:space="preserve"> </w:t>
            </w:r>
            <w:r w:rsidRPr="00BA6A0F">
              <w:rPr>
                <w:rFonts w:ascii="Arial" w:hAnsi="Arial" w:cs="Arial"/>
                <w:kern w:val="0"/>
                <w:sz w:val="16"/>
                <w:szCs w:val="16"/>
              </w:rPr>
              <w:t>protocol revision and following the revisio</w:t>
            </w:r>
            <w:r>
              <w:rPr>
                <w:rFonts w:ascii="Arial" w:hAnsi="Arial" w:cs="Arial"/>
                <w:kern w:val="0"/>
                <w:sz w:val="16"/>
                <w:szCs w:val="16"/>
              </w:rPr>
              <w:t xml:space="preserve">n. </w:t>
            </w:r>
          </w:p>
          <w:p w14:paraId="6F66D59C" w14:textId="2BE3B750" w:rsidR="00314EF3" w:rsidRDefault="00BA6A0F" w:rsidP="00BA6A0F">
            <w:pPr>
              <w:pStyle w:val="ListParagraph"/>
              <w:numPr>
                <w:ilvl w:val="0"/>
                <w:numId w:val="3"/>
              </w:numPr>
              <w:autoSpaceDE w:val="0"/>
              <w:autoSpaceDN w:val="0"/>
              <w:adjustRightInd w:val="0"/>
            </w:pPr>
            <w:r>
              <w:rPr>
                <w:rFonts w:ascii="Arial" w:hAnsi="Arial" w:cs="Arial"/>
                <w:kern w:val="0"/>
                <w:sz w:val="16"/>
                <w:szCs w:val="16"/>
              </w:rPr>
              <w:t>E</w:t>
            </w:r>
            <w:r w:rsidRPr="00BA6A0F">
              <w:rPr>
                <w:rFonts w:ascii="Arial" w:hAnsi="Arial" w:cs="Arial"/>
                <w:kern w:val="0"/>
                <w:sz w:val="16"/>
                <w:szCs w:val="16"/>
              </w:rPr>
              <w:t>valuate the impact of selected patient characteristics on the primary and secondary outcomes in patients</w:t>
            </w:r>
            <w:r>
              <w:rPr>
                <w:rFonts w:ascii="Arial" w:hAnsi="Arial" w:cs="Arial"/>
                <w:kern w:val="0"/>
                <w:sz w:val="16"/>
                <w:szCs w:val="16"/>
              </w:rPr>
              <w:t xml:space="preserve"> </w:t>
            </w:r>
            <w:r w:rsidRPr="00BA6A0F">
              <w:rPr>
                <w:rFonts w:ascii="Arial" w:hAnsi="Arial" w:cs="Arial"/>
                <w:kern w:val="0"/>
                <w:sz w:val="16"/>
                <w:szCs w:val="16"/>
              </w:rPr>
              <w:t>treated with DOACs vs. warfarin.</w:t>
            </w:r>
          </w:p>
        </w:tc>
        <w:tc>
          <w:tcPr>
            <w:tcW w:w="1095" w:type="dxa"/>
          </w:tcPr>
          <w:p w14:paraId="571DA33A" w14:textId="5BFE2C81" w:rsidR="00314EF3" w:rsidRDefault="00BA6A0F">
            <w:r>
              <w:lastRenderedPageBreak/>
              <w:t>1</w:t>
            </w:r>
          </w:p>
        </w:tc>
        <w:tc>
          <w:tcPr>
            <w:tcW w:w="2590" w:type="dxa"/>
          </w:tcPr>
          <w:p w14:paraId="270BD518" w14:textId="759BA050" w:rsidR="00314EF3" w:rsidRDefault="00BA6A0F">
            <w:r>
              <w:rPr>
                <w:rFonts w:ascii="Arial" w:hAnsi="Arial" w:cs="Arial"/>
                <w:b/>
                <w:bCs/>
                <w:kern w:val="0"/>
                <w:sz w:val="16"/>
                <w:szCs w:val="16"/>
              </w:rPr>
              <w:t>0172-0000-23-007-L01-P</w:t>
            </w:r>
          </w:p>
        </w:tc>
      </w:tr>
      <w:tr w:rsidR="00314EF3" w14:paraId="03EAE8D7" w14:textId="77777777" w:rsidTr="00BA6A0F">
        <w:tc>
          <w:tcPr>
            <w:tcW w:w="1795" w:type="dxa"/>
          </w:tcPr>
          <w:p w14:paraId="15E3FE5B" w14:textId="77777777" w:rsidR="00314EF3" w:rsidRPr="00B938F1" w:rsidRDefault="00BA6A0F">
            <w:pPr>
              <w:rPr>
                <w:b/>
                <w:bCs/>
              </w:rPr>
            </w:pPr>
            <w:r w:rsidRPr="00B938F1">
              <w:rPr>
                <w:b/>
                <w:bCs/>
              </w:rPr>
              <w:t>1-4</w:t>
            </w:r>
          </w:p>
          <w:p w14:paraId="2C79B5D4" w14:textId="7E1696EE" w:rsidR="00181FA0" w:rsidRPr="00B938F1" w:rsidRDefault="00B938F1">
            <w:r w:rsidRPr="00B938F1">
              <w:t>15:25</w:t>
            </w:r>
          </w:p>
        </w:tc>
        <w:tc>
          <w:tcPr>
            <w:tcW w:w="2970" w:type="dxa"/>
          </w:tcPr>
          <w:p w14:paraId="4D7794B6" w14:textId="7BF0F139" w:rsidR="00BA6A0F" w:rsidRDefault="00BA6A0F" w:rsidP="00BA6A0F">
            <w:pPr>
              <w:spacing w:after="0" w:line="240" w:lineRule="auto"/>
            </w:pPr>
            <w:proofErr w:type="spellStart"/>
            <w:r>
              <w:t>Kreg</w:t>
            </w:r>
            <w:proofErr w:type="spellEnd"/>
            <w:r>
              <w:t xml:space="preserve"> Montgomery, PharmD</w:t>
            </w:r>
          </w:p>
          <w:p w14:paraId="7F90E587" w14:textId="6DC72860" w:rsidR="00BA6A0F" w:rsidRDefault="00BA6A0F" w:rsidP="00BA6A0F">
            <w:pPr>
              <w:spacing w:after="0" w:line="240" w:lineRule="auto"/>
            </w:pPr>
            <w:r>
              <w:t>Trey Willoughby, PharmD</w:t>
            </w:r>
          </w:p>
          <w:p w14:paraId="74C25CF5" w14:textId="76B17D64" w:rsidR="00BA6A0F" w:rsidRDefault="00BA6A0F" w:rsidP="00BA6A0F">
            <w:pPr>
              <w:spacing w:after="0" w:line="240" w:lineRule="auto"/>
            </w:pPr>
            <w:r>
              <w:t>Kaitlynn Krupp, PharmD</w:t>
            </w:r>
          </w:p>
          <w:p w14:paraId="5441410F" w14:textId="18A4138D" w:rsidR="00314EF3" w:rsidRDefault="00BA6A0F" w:rsidP="00BA6A0F">
            <w:r>
              <w:t>Sydney Bowman, PharmD</w:t>
            </w:r>
          </w:p>
        </w:tc>
        <w:tc>
          <w:tcPr>
            <w:tcW w:w="4500" w:type="dxa"/>
          </w:tcPr>
          <w:p w14:paraId="5FDAC8DF" w14:textId="225412C0" w:rsidR="00B407F6" w:rsidRPr="00B407F6" w:rsidRDefault="00B407F6" w:rsidP="00B407F6">
            <w:pPr>
              <w:pStyle w:val="ListParagraph"/>
              <w:numPr>
                <w:ilvl w:val="0"/>
                <w:numId w:val="4"/>
              </w:numPr>
              <w:autoSpaceDE w:val="0"/>
              <w:autoSpaceDN w:val="0"/>
              <w:adjustRightInd w:val="0"/>
              <w:rPr>
                <w:rFonts w:ascii="Arial" w:hAnsi="Arial" w:cs="Arial"/>
                <w:kern w:val="0"/>
                <w:sz w:val="16"/>
                <w:szCs w:val="16"/>
              </w:rPr>
            </w:pPr>
            <w:r w:rsidRPr="00B407F6">
              <w:rPr>
                <w:rFonts w:ascii="Arial" w:hAnsi="Arial" w:cs="Arial"/>
                <w:kern w:val="0"/>
                <w:sz w:val="16"/>
                <w:szCs w:val="16"/>
              </w:rPr>
              <w:t>Describe the difference in morphine milligram equivalents (MME) between established methadone and</w:t>
            </w:r>
            <w:r w:rsidRPr="00B407F6">
              <w:rPr>
                <w:rFonts w:ascii="Arial" w:hAnsi="Arial" w:cs="Arial"/>
                <w:kern w:val="0"/>
                <w:sz w:val="16"/>
                <w:szCs w:val="16"/>
              </w:rPr>
              <w:t xml:space="preserve"> </w:t>
            </w:r>
            <w:r w:rsidRPr="00B407F6">
              <w:rPr>
                <w:rFonts w:ascii="Arial" w:hAnsi="Arial" w:cs="Arial"/>
                <w:kern w:val="0"/>
                <w:sz w:val="16"/>
                <w:szCs w:val="16"/>
              </w:rPr>
              <w:t>morphine weaning protocols for neonates being treated for neonatal abstinence syndrome.</w:t>
            </w:r>
          </w:p>
          <w:p w14:paraId="6758F551" w14:textId="77777777" w:rsidR="00B407F6" w:rsidRPr="00B407F6" w:rsidRDefault="00B407F6" w:rsidP="00B407F6">
            <w:pPr>
              <w:pStyle w:val="ListParagraph"/>
              <w:numPr>
                <w:ilvl w:val="0"/>
                <w:numId w:val="4"/>
              </w:numPr>
              <w:autoSpaceDE w:val="0"/>
              <w:autoSpaceDN w:val="0"/>
              <w:adjustRightInd w:val="0"/>
              <w:rPr>
                <w:rFonts w:ascii="Arial" w:hAnsi="Arial" w:cs="Arial"/>
                <w:kern w:val="0"/>
                <w:sz w:val="16"/>
                <w:szCs w:val="16"/>
              </w:rPr>
            </w:pPr>
            <w:r w:rsidRPr="00B407F6">
              <w:rPr>
                <w:rFonts w:ascii="Arial" w:hAnsi="Arial" w:cs="Arial"/>
                <w:kern w:val="0"/>
                <w:sz w:val="16"/>
                <w:szCs w:val="16"/>
              </w:rPr>
              <w:t>Evaluate the frequency of vancomycin target AUC using Bayesian modeling in the obese population.</w:t>
            </w:r>
          </w:p>
          <w:p w14:paraId="256C9284" w14:textId="77777777" w:rsidR="00B407F6" w:rsidRPr="00B407F6" w:rsidRDefault="00B407F6" w:rsidP="00B407F6">
            <w:pPr>
              <w:pStyle w:val="ListParagraph"/>
              <w:numPr>
                <w:ilvl w:val="0"/>
                <w:numId w:val="4"/>
              </w:numPr>
              <w:autoSpaceDE w:val="0"/>
              <w:autoSpaceDN w:val="0"/>
              <w:adjustRightInd w:val="0"/>
            </w:pPr>
            <w:r w:rsidRPr="00B407F6">
              <w:rPr>
                <w:rFonts w:ascii="Arial" w:hAnsi="Arial" w:cs="Arial"/>
                <w:kern w:val="0"/>
                <w:sz w:val="16"/>
                <w:szCs w:val="16"/>
              </w:rPr>
              <w:t>Describe the differences in Anti-</w:t>
            </w:r>
            <w:proofErr w:type="spellStart"/>
            <w:r w:rsidRPr="00B407F6">
              <w:rPr>
                <w:rFonts w:ascii="Arial" w:hAnsi="Arial" w:cs="Arial"/>
                <w:kern w:val="0"/>
                <w:sz w:val="16"/>
                <w:szCs w:val="16"/>
              </w:rPr>
              <w:t>Xa</w:t>
            </w:r>
            <w:proofErr w:type="spellEnd"/>
            <w:r w:rsidRPr="00B407F6">
              <w:rPr>
                <w:rFonts w:ascii="Arial" w:hAnsi="Arial" w:cs="Arial"/>
                <w:kern w:val="0"/>
                <w:sz w:val="16"/>
                <w:szCs w:val="16"/>
              </w:rPr>
              <w:t xml:space="preserve"> and activated partial thromboplastin time (</w:t>
            </w:r>
            <w:proofErr w:type="spellStart"/>
            <w:r w:rsidRPr="00B407F6">
              <w:rPr>
                <w:rFonts w:ascii="Arial" w:hAnsi="Arial" w:cs="Arial"/>
                <w:kern w:val="0"/>
                <w:sz w:val="16"/>
                <w:szCs w:val="16"/>
              </w:rPr>
              <w:t>aPTT</w:t>
            </w:r>
            <w:proofErr w:type="spellEnd"/>
            <w:r w:rsidRPr="00B407F6">
              <w:rPr>
                <w:rFonts w:ascii="Arial" w:hAnsi="Arial" w:cs="Arial"/>
                <w:kern w:val="0"/>
                <w:sz w:val="16"/>
                <w:szCs w:val="16"/>
              </w:rPr>
              <w:t>) levels when used for</w:t>
            </w:r>
            <w:r>
              <w:rPr>
                <w:rFonts w:ascii="Arial" w:hAnsi="Arial" w:cs="Arial"/>
                <w:kern w:val="0"/>
                <w:sz w:val="16"/>
                <w:szCs w:val="16"/>
              </w:rPr>
              <w:t xml:space="preserve"> </w:t>
            </w:r>
            <w:r w:rsidRPr="00B407F6">
              <w:rPr>
                <w:rFonts w:ascii="Arial" w:hAnsi="Arial" w:cs="Arial"/>
                <w:kern w:val="0"/>
                <w:sz w:val="16"/>
                <w:szCs w:val="16"/>
              </w:rPr>
              <w:t>heparin monitoring.</w:t>
            </w:r>
          </w:p>
          <w:p w14:paraId="6669BB62" w14:textId="47A1CE1A" w:rsidR="00314EF3" w:rsidRDefault="00B407F6" w:rsidP="00B407F6">
            <w:pPr>
              <w:pStyle w:val="ListParagraph"/>
              <w:numPr>
                <w:ilvl w:val="0"/>
                <w:numId w:val="4"/>
              </w:numPr>
              <w:autoSpaceDE w:val="0"/>
              <w:autoSpaceDN w:val="0"/>
              <w:adjustRightInd w:val="0"/>
            </w:pPr>
            <w:r w:rsidRPr="00B407F6">
              <w:rPr>
                <w:rFonts w:ascii="Arial" w:hAnsi="Arial" w:cs="Arial"/>
                <w:kern w:val="0"/>
                <w:sz w:val="16"/>
                <w:szCs w:val="16"/>
              </w:rPr>
              <w:t>Evaluate the impact of pharmacists on the frequency of appropriate dosing of ketamine and propofol for</w:t>
            </w:r>
            <w:r>
              <w:rPr>
                <w:rFonts w:ascii="Arial" w:hAnsi="Arial" w:cs="Arial"/>
                <w:kern w:val="0"/>
                <w:sz w:val="16"/>
                <w:szCs w:val="16"/>
              </w:rPr>
              <w:t xml:space="preserve"> p</w:t>
            </w:r>
            <w:r w:rsidRPr="00B407F6">
              <w:rPr>
                <w:rFonts w:ascii="Arial" w:hAnsi="Arial" w:cs="Arial"/>
                <w:kern w:val="0"/>
                <w:sz w:val="16"/>
                <w:szCs w:val="16"/>
              </w:rPr>
              <w:t>rocedural sedations in the emergency department.</w:t>
            </w:r>
          </w:p>
        </w:tc>
        <w:tc>
          <w:tcPr>
            <w:tcW w:w="1095" w:type="dxa"/>
          </w:tcPr>
          <w:p w14:paraId="01467DC4" w14:textId="7D61587A" w:rsidR="00314EF3" w:rsidRDefault="00B407F6">
            <w:r>
              <w:t>1</w:t>
            </w:r>
          </w:p>
        </w:tc>
        <w:tc>
          <w:tcPr>
            <w:tcW w:w="2590" w:type="dxa"/>
          </w:tcPr>
          <w:p w14:paraId="08536F8B" w14:textId="35B7272B" w:rsidR="00314EF3" w:rsidRDefault="00B407F6">
            <w:r>
              <w:rPr>
                <w:rFonts w:ascii="Arial" w:hAnsi="Arial" w:cs="Arial"/>
                <w:b/>
                <w:bCs/>
                <w:kern w:val="0"/>
                <w:sz w:val="16"/>
                <w:szCs w:val="16"/>
              </w:rPr>
              <w:t>0172-0000-23-008-L01-P</w:t>
            </w:r>
          </w:p>
        </w:tc>
      </w:tr>
      <w:tr w:rsidR="00314EF3" w14:paraId="28B38D2D" w14:textId="77777777" w:rsidTr="00BA6A0F">
        <w:tc>
          <w:tcPr>
            <w:tcW w:w="1795" w:type="dxa"/>
          </w:tcPr>
          <w:p w14:paraId="4DB77A6A" w14:textId="77777777" w:rsidR="00314EF3" w:rsidRPr="00B938F1" w:rsidRDefault="00B407F6">
            <w:pPr>
              <w:rPr>
                <w:b/>
                <w:bCs/>
              </w:rPr>
            </w:pPr>
            <w:r w:rsidRPr="00B938F1">
              <w:rPr>
                <w:b/>
                <w:bCs/>
              </w:rPr>
              <w:t>2-1</w:t>
            </w:r>
          </w:p>
          <w:p w14:paraId="65F327B4" w14:textId="5ED401B7" w:rsidR="00B938F1" w:rsidRDefault="00B938F1">
            <w:r>
              <w:t>12:00</w:t>
            </w:r>
          </w:p>
        </w:tc>
        <w:tc>
          <w:tcPr>
            <w:tcW w:w="2970" w:type="dxa"/>
          </w:tcPr>
          <w:p w14:paraId="1BA12809" w14:textId="605201D0" w:rsidR="00B407F6" w:rsidRDefault="00B407F6" w:rsidP="00B407F6">
            <w:pPr>
              <w:spacing w:after="0" w:line="240" w:lineRule="auto"/>
            </w:pPr>
            <w:r>
              <w:t>Michael Miller, PharmD</w:t>
            </w:r>
          </w:p>
          <w:p w14:paraId="10899EF0" w14:textId="0C66C3E3" w:rsidR="00B407F6" w:rsidRDefault="00B407F6" w:rsidP="00B407F6">
            <w:pPr>
              <w:spacing w:after="0" w:line="240" w:lineRule="auto"/>
            </w:pPr>
            <w:r>
              <w:t>Kyle Humphries, PharmD</w:t>
            </w:r>
          </w:p>
          <w:p w14:paraId="0AA32379" w14:textId="5C22A109" w:rsidR="00B407F6" w:rsidRDefault="00B407F6" w:rsidP="00B407F6">
            <w:pPr>
              <w:spacing w:after="0" w:line="240" w:lineRule="auto"/>
            </w:pPr>
            <w:r>
              <w:t>Lauren Cummins, PharmD</w:t>
            </w:r>
          </w:p>
          <w:p w14:paraId="3C47114D" w14:textId="6A880E77" w:rsidR="00314EF3" w:rsidRDefault="00B407F6" w:rsidP="00B407F6">
            <w:r>
              <w:t>Clay Hayes, PharmD</w:t>
            </w:r>
          </w:p>
        </w:tc>
        <w:tc>
          <w:tcPr>
            <w:tcW w:w="4500" w:type="dxa"/>
          </w:tcPr>
          <w:p w14:paraId="0ACF7787" w14:textId="75D5E041" w:rsidR="00B407F6" w:rsidRPr="00B407F6" w:rsidRDefault="00B407F6" w:rsidP="00B407F6">
            <w:pPr>
              <w:pStyle w:val="ListParagraph"/>
              <w:numPr>
                <w:ilvl w:val="0"/>
                <w:numId w:val="5"/>
              </w:numPr>
              <w:autoSpaceDE w:val="0"/>
              <w:autoSpaceDN w:val="0"/>
              <w:adjustRightInd w:val="0"/>
              <w:rPr>
                <w:rFonts w:ascii="Arial" w:hAnsi="Arial" w:cs="Arial"/>
                <w:kern w:val="0"/>
                <w:sz w:val="16"/>
                <w:szCs w:val="16"/>
              </w:rPr>
            </w:pPr>
            <w:r w:rsidRPr="00B407F6">
              <w:rPr>
                <w:rFonts w:ascii="Arial" w:hAnsi="Arial" w:cs="Arial"/>
                <w:kern w:val="0"/>
                <w:sz w:val="16"/>
                <w:szCs w:val="16"/>
              </w:rPr>
              <w:t>Identify the benefits of using extended infusions when dosing cefepime and meropenem to treat gram negative</w:t>
            </w:r>
            <w:r w:rsidRPr="00B407F6">
              <w:rPr>
                <w:rFonts w:ascii="Arial" w:hAnsi="Arial" w:cs="Arial"/>
                <w:kern w:val="0"/>
                <w:sz w:val="16"/>
                <w:szCs w:val="16"/>
              </w:rPr>
              <w:t xml:space="preserve"> </w:t>
            </w:r>
            <w:r w:rsidRPr="00B407F6">
              <w:rPr>
                <w:rFonts w:ascii="Arial" w:hAnsi="Arial" w:cs="Arial"/>
                <w:kern w:val="0"/>
                <w:sz w:val="16"/>
                <w:szCs w:val="16"/>
              </w:rPr>
              <w:t>bacterial infections.</w:t>
            </w:r>
          </w:p>
          <w:p w14:paraId="4A83C0FB" w14:textId="097CFC24" w:rsidR="00B407F6" w:rsidRPr="00B407F6" w:rsidRDefault="00B407F6" w:rsidP="00B407F6">
            <w:pPr>
              <w:pStyle w:val="ListParagraph"/>
              <w:numPr>
                <w:ilvl w:val="0"/>
                <w:numId w:val="5"/>
              </w:numPr>
              <w:autoSpaceDE w:val="0"/>
              <w:autoSpaceDN w:val="0"/>
              <w:adjustRightInd w:val="0"/>
              <w:rPr>
                <w:rFonts w:ascii="Arial" w:hAnsi="Arial" w:cs="Arial"/>
                <w:kern w:val="0"/>
                <w:sz w:val="16"/>
                <w:szCs w:val="16"/>
              </w:rPr>
            </w:pPr>
            <w:r w:rsidRPr="00B407F6">
              <w:rPr>
                <w:rFonts w:ascii="Arial" w:hAnsi="Arial" w:cs="Arial"/>
                <w:kern w:val="0"/>
                <w:sz w:val="16"/>
                <w:szCs w:val="16"/>
              </w:rPr>
              <w:t>Explain how calcium supplementation during trauma resuscitation at UAB fits with published literature on the</w:t>
            </w:r>
            <w:r w:rsidRPr="00B407F6">
              <w:rPr>
                <w:rFonts w:ascii="Arial" w:hAnsi="Arial" w:cs="Arial"/>
                <w:kern w:val="0"/>
                <w:sz w:val="16"/>
                <w:szCs w:val="16"/>
              </w:rPr>
              <w:t xml:space="preserve"> </w:t>
            </w:r>
            <w:r w:rsidRPr="00B407F6">
              <w:rPr>
                <w:rFonts w:ascii="Arial" w:hAnsi="Arial" w:cs="Arial"/>
                <w:kern w:val="0"/>
                <w:sz w:val="16"/>
                <w:szCs w:val="16"/>
              </w:rPr>
              <w:t>topic.</w:t>
            </w:r>
          </w:p>
          <w:p w14:paraId="7E47A97B" w14:textId="19F4755E" w:rsidR="00B407F6" w:rsidRPr="00B407F6" w:rsidRDefault="00B407F6" w:rsidP="00B407F6">
            <w:pPr>
              <w:pStyle w:val="ListParagraph"/>
              <w:numPr>
                <w:ilvl w:val="0"/>
                <w:numId w:val="5"/>
              </w:numPr>
              <w:autoSpaceDE w:val="0"/>
              <w:autoSpaceDN w:val="0"/>
              <w:adjustRightInd w:val="0"/>
              <w:rPr>
                <w:rFonts w:ascii="Arial" w:hAnsi="Arial" w:cs="Arial"/>
                <w:kern w:val="0"/>
                <w:sz w:val="16"/>
                <w:szCs w:val="16"/>
              </w:rPr>
            </w:pPr>
            <w:r w:rsidRPr="00B407F6">
              <w:rPr>
                <w:rFonts w:ascii="Arial" w:hAnsi="Arial" w:cs="Arial"/>
                <w:kern w:val="0"/>
                <w:sz w:val="16"/>
                <w:szCs w:val="16"/>
              </w:rPr>
              <w:t>Explain basic concepts related to the new M100:ED32 breakpoints for piperacillin-tazobactam, and its</w:t>
            </w:r>
            <w:r w:rsidRPr="00B407F6">
              <w:rPr>
                <w:rFonts w:ascii="Arial" w:hAnsi="Arial" w:cs="Arial"/>
                <w:kern w:val="0"/>
                <w:sz w:val="16"/>
                <w:szCs w:val="16"/>
              </w:rPr>
              <w:t xml:space="preserve"> </w:t>
            </w:r>
            <w:r w:rsidRPr="00B407F6">
              <w:rPr>
                <w:rFonts w:ascii="Arial" w:hAnsi="Arial" w:cs="Arial"/>
                <w:kern w:val="0"/>
                <w:sz w:val="16"/>
                <w:szCs w:val="16"/>
              </w:rPr>
              <w:t>implications on patient care.</w:t>
            </w:r>
          </w:p>
          <w:p w14:paraId="0D6F7E28" w14:textId="17062B45" w:rsidR="00314EF3" w:rsidRDefault="00B407F6" w:rsidP="00B407F6">
            <w:pPr>
              <w:pStyle w:val="ListParagraph"/>
              <w:numPr>
                <w:ilvl w:val="0"/>
                <w:numId w:val="5"/>
              </w:numPr>
              <w:autoSpaceDE w:val="0"/>
              <w:autoSpaceDN w:val="0"/>
              <w:adjustRightInd w:val="0"/>
            </w:pPr>
            <w:r w:rsidRPr="00B407F6">
              <w:rPr>
                <w:rFonts w:ascii="Arial" w:hAnsi="Arial" w:cs="Arial"/>
                <w:kern w:val="0"/>
                <w:sz w:val="16"/>
                <w:szCs w:val="16"/>
              </w:rPr>
              <w:t>Assess the difference in post-operative pain control among patients who received an opioid-based pain regimen</w:t>
            </w:r>
            <w:r>
              <w:rPr>
                <w:rFonts w:ascii="Arial" w:hAnsi="Arial" w:cs="Arial"/>
                <w:kern w:val="0"/>
                <w:sz w:val="16"/>
                <w:szCs w:val="16"/>
              </w:rPr>
              <w:t xml:space="preserve"> </w:t>
            </w:r>
            <w:r w:rsidRPr="00B407F6">
              <w:rPr>
                <w:rFonts w:ascii="Arial" w:hAnsi="Arial" w:cs="Arial"/>
                <w:kern w:val="0"/>
                <w:sz w:val="16"/>
                <w:szCs w:val="16"/>
              </w:rPr>
              <w:t>and those who received an opioid-sparing pain regimen following renal transplantation.</w:t>
            </w:r>
          </w:p>
        </w:tc>
        <w:tc>
          <w:tcPr>
            <w:tcW w:w="1095" w:type="dxa"/>
          </w:tcPr>
          <w:p w14:paraId="09478D71" w14:textId="62B6B54E" w:rsidR="00314EF3" w:rsidRDefault="00B407F6">
            <w:r>
              <w:t>1</w:t>
            </w:r>
          </w:p>
        </w:tc>
        <w:tc>
          <w:tcPr>
            <w:tcW w:w="2590" w:type="dxa"/>
          </w:tcPr>
          <w:p w14:paraId="1909D16A" w14:textId="094F3AD9" w:rsidR="00314EF3" w:rsidRDefault="00B407F6">
            <w:r>
              <w:rPr>
                <w:rFonts w:ascii="Arial" w:hAnsi="Arial" w:cs="Arial"/>
                <w:b/>
                <w:bCs/>
                <w:kern w:val="0"/>
                <w:sz w:val="16"/>
                <w:szCs w:val="16"/>
              </w:rPr>
              <w:t>0172-0000-23-009-L01-P</w:t>
            </w:r>
          </w:p>
        </w:tc>
      </w:tr>
      <w:tr w:rsidR="00314EF3" w14:paraId="3FB9A7DD" w14:textId="77777777" w:rsidTr="00BA6A0F">
        <w:tc>
          <w:tcPr>
            <w:tcW w:w="1795" w:type="dxa"/>
          </w:tcPr>
          <w:p w14:paraId="304C990B" w14:textId="77777777" w:rsidR="00314EF3" w:rsidRPr="00B938F1" w:rsidRDefault="00B83B46">
            <w:pPr>
              <w:rPr>
                <w:b/>
                <w:bCs/>
              </w:rPr>
            </w:pPr>
            <w:r w:rsidRPr="00B938F1">
              <w:rPr>
                <w:b/>
                <w:bCs/>
              </w:rPr>
              <w:t>2-2</w:t>
            </w:r>
          </w:p>
          <w:p w14:paraId="0B3BBDA2" w14:textId="1871393C" w:rsidR="00B938F1" w:rsidRDefault="00B938F1">
            <w:r>
              <w:t>13:05</w:t>
            </w:r>
          </w:p>
        </w:tc>
        <w:tc>
          <w:tcPr>
            <w:tcW w:w="2970" w:type="dxa"/>
          </w:tcPr>
          <w:p w14:paraId="27349636" w14:textId="1A7B8B5C" w:rsidR="00B83B46" w:rsidRDefault="00B83B46" w:rsidP="00B83B46">
            <w:pPr>
              <w:spacing w:after="0" w:line="240" w:lineRule="auto"/>
            </w:pPr>
            <w:r>
              <w:t>Andrew Revels, PharmD</w:t>
            </w:r>
          </w:p>
          <w:p w14:paraId="277351A3" w14:textId="118D90C8" w:rsidR="00B83B46" w:rsidRDefault="00B83B46" w:rsidP="00B83B46">
            <w:pPr>
              <w:spacing w:after="0" w:line="240" w:lineRule="auto"/>
            </w:pPr>
            <w:r>
              <w:t>Christian Hardrick, PharmD</w:t>
            </w:r>
          </w:p>
          <w:p w14:paraId="0E0FA0A7" w14:textId="2D8F3CF0" w:rsidR="00B83B46" w:rsidRDefault="00B83B46" w:rsidP="00B83B46">
            <w:pPr>
              <w:spacing w:after="0" w:line="240" w:lineRule="auto"/>
            </w:pPr>
            <w:r>
              <w:t>Gregory Taylor, PharmD</w:t>
            </w:r>
          </w:p>
          <w:p w14:paraId="0DE6B1DE" w14:textId="200DA3D5" w:rsidR="00314EF3" w:rsidRDefault="00B83B46" w:rsidP="00B83B46">
            <w:r>
              <w:t xml:space="preserve">Quinn </w:t>
            </w:r>
            <w:proofErr w:type="spellStart"/>
            <w:r>
              <w:t>Hattaway</w:t>
            </w:r>
            <w:proofErr w:type="spellEnd"/>
            <w:r>
              <w:t>, PharmD</w:t>
            </w:r>
          </w:p>
        </w:tc>
        <w:tc>
          <w:tcPr>
            <w:tcW w:w="4500" w:type="dxa"/>
          </w:tcPr>
          <w:p w14:paraId="4F75A538" w14:textId="3FBEED39" w:rsidR="00B83B46" w:rsidRPr="00B83B46" w:rsidRDefault="00B83B46" w:rsidP="00B83B46">
            <w:pPr>
              <w:pStyle w:val="ListParagraph"/>
              <w:numPr>
                <w:ilvl w:val="0"/>
                <w:numId w:val="6"/>
              </w:numPr>
              <w:autoSpaceDE w:val="0"/>
              <w:autoSpaceDN w:val="0"/>
              <w:adjustRightInd w:val="0"/>
              <w:rPr>
                <w:rFonts w:ascii="Arial" w:hAnsi="Arial" w:cs="Arial"/>
                <w:kern w:val="0"/>
                <w:sz w:val="16"/>
                <w:szCs w:val="16"/>
              </w:rPr>
            </w:pPr>
            <w:r w:rsidRPr="00B83B46">
              <w:rPr>
                <w:rFonts w:ascii="Arial" w:hAnsi="Arial" w:cs="Arial"/>
                <w:kern w:val="0"/>
                <w:sz w:val="16"/>
                <w:szCs w:val="16"/>
              </w:rPr>
              <w:t>Describe the impact of rapid molecular blood culture testing on time to initiation of effective antibiotic therapy</w:t>
            </w:r>
            <w:r w:rsidRPr="00B83B46">
              <w:rPr>
                <w:rFonts w:ascii="Arial" w:hAnsi="Arial" w:cs="Arial"/>
                <w:kern w:val="0"/>
                <w:sz w:val="16"/>
                <w:szCs w:val="16"/>
              </w:rPr>
              <w:t xml:space="preserve"> </w:t>
            </w:r>
            <w:r w:rsidRPr="00B83B46">
              <w:rPr>
                <w:rFonts w:ascii="Arial" w:hAnsi="Arial" w:cs="Arial"/>
                <w:kern w:val="0"/>
                <w:sz w:val="16"/>
                <w:szCs w:val="16"/>
              </w:rPr>
              <w:t>compared to traditional culture and susceptibility testing.</w:t>
            </w:r>
          </w:p>
          <w:p w14:paraId="6F502691" w14:textId="77777777" w:rsidR="00B83B46" w:rsidRPr="00B83B46" w:rsidRDefault="00B83B46" w:rsidP="00B83B46">
            <w:pPr>
              <w:pStyle w:val="ListParagraph"/>
              <w:numPr>
                <w:ilvl w:val="0"/>
                <w:numId w:val="6"/>
              </w:numPr>
              <w:autoSpaceDE w:val="0"/>
              <w:autoSpaceDN w:val="0"/>
              <w:adjustRightInd w:val="0"/>
              <w:rPr>
                <w:rFonts w:ascii="Arial" w:hAnsi="Arial" w:cs="Arial"/>
                <w:kern w:val="0"/>
                <w:sz w:val="16"/>
                <w:szCs w:val="16"/>
              </w:rPr>
            </w:pPr>
            <w:r w:rsidRPr="00B83B46">
              <w:rPr>
                <w:rFonts w:ascii="Arial" w:hAnsi="Arial" w:cs="Arial"/>
                <w:kern w:val="0"/>
                <w:sz w:val="16"/>
                <w:szCs w:val="16"/>
              </w:rPr>
              <w:t>Define the efficacy and safety of twice daily versus three times daily dosing of subcutaneous heparin.</w:t>
            </w:r>
          </w:p>
          <w:p w14:paraId="4D80A41E" w14:textId="77777777" w:rsidR="00B83B46" w:rsidRPr="00B83B46" w:rsidRDefault="00B83B46" w:rsidP="00B83B46">
            <w:pPr>
              <w:pStyle w:val="ListParagraph"/>
              <w:numPr>
                <w:ilvl w:val="0"/>
                <w:numId w:val="6"/>
              </w:numPr>
              <w:autoSpaceDE w:val="0"/>
              <w:autoSpaceDN w:val="0"/>
              <w:adjustRightInd w:val="0"/>
            </w:pPr>
            <w:r w:rsidRPr="00B83B46">
              <w:rPr>
                <w:rFonts w:ascii="Arial" w:hAnsi="Arial" w:cs="Arial"/>
                <w:kern w:val="0"/>
                <w:sz w:val="16"/>
                <w:szCs w:val="16"/>
              </w:rPr>
              <w:t xml:space="preserve">Define the role of </w:t>
            </w:r>
            <w:proofErr w:type="spellStart"/>
            <w:r w:rsidRPr="00B83B46">
              <w:rPr>
                <w:rFonts w:ascii="Arial" w:hAnsi="Arial" w:cs="Arial"/>
                <w:kern w:val="0"/>
                <w:sz w:val="16"/>
                <w:szCs w:val="16"/>
              </w:rPr>
              <w:t>hyperoncotic</w:t>
            </w:r>
            <w:proofErr w:type="spellEnd"/>
            <w:r w:rsidRPr="00B83B46">
              <w:rPr>
                <w:rFonts w:ascii="Arial" w:hAnsi="Arial" w:cs="Arial"/>
                <w:kern w:val="0"/>
                <w:sz w:val="16"/>
                <w:szCs w:val="16"/>
              </w:rPr>
              <w:t xml:space="preserve"> albumin for </w:t>
            </w:r>
            <w:proofErr w:type="spellStart"/>
            <w:r w:rsidRPr="00B83B46">
              <w:rPr>
                <w:rFonts w:ascii="Arial" w:hAnsi="Arial" w:cs="Arial"/>
                <w:kern w:val="0"/>
                <w:sz w:val="16"/>
                <w:szCs w:val="16"/>
              </w:rPr>
              <w:t>deresuscitation</w:t>
            </w:r>
            <w:proofErr w:type="spellEnd"/>
            <w:r w:rsidRPr="00B83B46">
              <w:rPr>
                <w:rFonts w:ascii="Arial" w:hAnsi="Arial" w:cs="Arial"/>
                <w:kern w:val="0"/>
                <w:sz w:val="16"/>
                <w:szCs w:val="16"/>
              </w:rPr>
              <w:t xml:space="preserve"> in volume-overloaded, critically-ill patients with</w:t>
            </w:r>
            <w:r w:rsidRPr="00B83B46">
              <w:rPr>
                <w:rFonts w:ascii="Arial" w:hAnsi="Arial" w:cs="Arial"/>
                <w:kern w:val="0"/>
                <w:sz w:val="16"/>
                <w:szCs w:val="16"/>
              </w:rPr>
              <w:t xml:space="preserve"> </w:t>
            </w:r>
            <w:r w:rsidRPr="00B83B46">
              <w:rPr>
                <w:rFonts w:ascii="Arial" w:hAnsi="Arial" w:cs="Arial"/>
                <w:kern w:val="0"/>
                <w:sz w:val="16"/>
                <w:szCs w:val="16"/>
              </w:rPr>
              <w:t>hypoalbuminemia.</w:t>
            </w:r>
            <w:r>
              <w:rPr>
                <w:rFonts w:ascii="Arial" w:hAnsi="Arial" w:cs="Arial"/>
                <w:kern w:val="0"/>
                <w:sz w:val="16"/>
                <w:szCs w:val="16"/>
              </w:rPr>
              <w:t xml:space="preserve"> </w:t>
            </w:r>
          </w:p>
          <w:p w14:paraId="66424619" w14:textId="79ABC3BA" w:rsidR="00314EF3" w:rsidRDefault="00B83B46" w:rsidP="00B83B46">
            <w:pPr>
              <w:pStyle w:val="ListParagraph"/>
              <w:numPr>
                <w:ilvl w:val="0"/>
                <w:numId w:val="6"/>
              </w:numPr>
              <w:autoSpaceDE w:val="0"/>
              <w:autoSpaceDN w:val="0"/>
              <w:adjustRightInd w:val="0"/>
            </w:pPr>
            <w:r w:rsidRPr="00B83B46">
              <w:rPr>
                <w:rFonts w:ascii="Arial" w:hAnsi="Arial" w:cs="Arial"/>
                <w:kern w:val="0"/>
                <w:sz w:val="16"/>
                <w:szCs w:val="16"/>
              </w:rPr>
              <w:t>Describe the efficacy and safety of direct oral anticoagulants or the treatment of venous thromboembolism in</w:t>
            </w:r>
            <w:r w:rsidRPr="00B83B46">
              <w:rPr>
                <w:rFonts w:ascii="Arial" w:hAnsi="Arial" w:cs="Arial"/>
                <w:kern w:val="0"/>
                <w:sz w:val="16"/>
                <w:szCs w:val="16"/>
              </w:rPr>
              <w:t xml:space="preserve"> </w:t>
            </w:r>
            <w:r w:rsidRPr="00B83B46">
              <w:rPr>
                <w:rFonts w:ascii="Arial" w:hAnsi="Arial" w:cs="Arial"/>
                <w:kern w:val="0"/>
                <w:sz w:val="16"/>
                <w:szCs w:val="16"/>
              </w:rPr>
              <w:t>patients with obesity.</w:t>
            </w:r>
          </w:p>
        </w:tc>
        <w:tc>
          <w:tcPr>
            <w:tcW w:w="1095" w:type="dxa"/>
          </w:tcPr>
          <w:p w14:paraId="17880C9E" w14:textId="5B24E757" w:rsidR="00314EF3" w:rsidRDefault="00B83B46">
            <w:r>
              <w:t>1</w:t>
            </w:r>
          </w:p>
        </w:tc>
        <w:tc>
          <w:tcPr>
            <w:tcW w:w="2590" w:type="dxa"/>
          </w:tcPr>
          <w:p w14:paraId="5958D394" w14:textId="76CF2E23" w:rsidR="00314EF3" w:rsidRDefault="00B83B46">
            <w:r>
              <w:rPr>
                <w:rFonts w:ascii="Arial" w:hAnsi="Arial" w:cs="Arial"/>
                <w:b/>
                <w:bCs/>
                <w:kern w:val="0"/>
                <w:sz w:val="16"/>
                <w:szCs w:val="16"/>
              </w:rPr>
              <w:t>0172-0000-23-010-L01-P</w:t>
            </w:r>
          </w:p>
        </w:tc>
      </w:tr>
      <w:tr w:rsidR="00314EF3" w14:paraId="149B4B44" w14:textId="77777777" w:rsidTr="00BA6A0F">
        <w:tc>
          <w:tcPr>
            <w:tcW w:w="1795" w:type="dxa"/>
          </w:tcPr>
          <w:p w14:paraId="794D7C31" w14:textId="77777777" w:rsidR="00314EF3" w:rsidRPr="00B938F1" w:rsidRDefault="00B83B46">
            <w:pPr>
              <w:rPr>
                <w:b/>
                <w:bCs/>
              </w:rPr>
            </w:pPr>
            <w:r w:rsidRPr="00B938F1">
              <w:rPr>
                <w:b/>
                <w:bCs/>
              </w:rPr>
              <w:t>2-3</w:t>
            </w:r>
          </w:p>
          <w:p w14:paraId="50698D9E" w14:textId="21CFE5E8" w:rsidR="00B938F1" w:rsidRDefault="00B938F1">
            <w:r>
              <w:t>14:15</w:t>
            </w:r>
          </w:p>
        </w:tc>
        <w:tc>
          <w:tcPr>
            <w:tcW w:w="2970" w:type="dxa"/>
          </w:tcPr>
          <w:p w14:paraId="144F4076" w14:textId="127DDC2A" w:rsidR="00B83B46" w:rsidRDefault="00B83B46" w:rsidP="00B83B46">
            <w:pPr>
              <w:spacing w:after="0" w:line="240" w:lineRule="auto"/>
            </w:pPr>
            <w:r>
              <w:t xml:space="preserve">Marissa </w:t>
            </w:r>
            <w:proofErr w:type="spellStart"/>
            <w:r>
              <w:t>Brakefield</w:t>
            </w:r>
            <w:proofErr w:type="spellEnd"/>
            <w:r w:rsidR="006F0FB1">
              <w:t>, PharmD</w:t>
            </w:r>
          </w:p>
          <w:p w14:paraId="3F689D53" w14:textId="55310EE9" w:rsidR="00B83B46" w:rsidRDefault="00B83B46" w:rsidP="00B83B46">
            <w:pPr>
              <w:spacing w:after="0" w:line="240" w:lineRule="auto"/>
            </w:pPr>
            <w:r>
              <w:t>Amanda Holder</w:t>
            </w:r>
            <w:r w:rsidR="006F0FB1">
              <w:t>, PharmD</w:t>
            </w:r>
          </w:p>
          <w:p w14:paraId="2B68444F" w14:textId="05F2244B" w:rsidR="00B83B46" w:rsidRDefault="00B83B46" w:rsidP="00B83B46">
            <w:pPr>
              <w:spacing w:after="0" w:line="240" w:lineRule="auto"/>
            </w:pPr>
            <w:r>
              <w:t>Sahil Patel</w:t>
            </w:r>
            <w:r w:rsidR="006F0FB1">
              <w:t>, PharmD</w:t>
            </w:r>
          </w:p>
          <w:p w14:paraId="7C6AD969" w14:textId="0D4E677A" w:rsidR="00314EF3" w:rsidRDefault="00B83B46" w:rsidP="00B83B46">
            <w:r>
              <w:lastRenderedPageBreak/>
              <w:t xml:space="preserve">Robert </w:t>
            </w:r>
            <w:proofErr w:type="spellStart"/>
            <w:r>
              <w:t>Tooma</w:t>
            </w:r>
            <w:proofErr w:type="spellEnd"/>
            <w:r w:rsidR="006F0FB1">
              <w:t>, PharmD</w:t>
            </w:r>
          </w:p>
        </w:tc>
        <w:tc>
          <w:tcPr>
            <w:tcW w:w="4500" w:type="dxa"/>
          </w:tcPr>
          <w:p w14:paraId="1DFA4B45" w14:textId="77777777" w:rsidR="006F0FB1" w:rsidRPr="006F0FB1" w:rsidRDefault="006F0FB1" w:rsidP="006F0FB1">
            <w:pPr>
              <w:pStyle w:val="ListParagraph"/>
              <w:numPr>
                <w:ilvl w:val="0"/>
                <w:numId w:val="7"/>
              </w:numPr>
              <w:autoSpaceDE w:val="0"/>
              <w:autoSpaceDN w:val="0"/>
              <w:adjustRightInd w:val="0"/>
              <w:rPr>
                <w:rFonts w:ascii="Arial" w:hAnsi="Arial" w:cs="Arial"/>
                <w:kern w:val="0"/>
                <w:sz w:val="16"/>
                <w:szCs w:val="16"/>
              </w:rPr>
            </w:pPr>
            <w:r w:rsidRPr="006F0FB1">
              <w:rPr>
                <w:rFonts w:ascii="Arial" w:hAnsi="Arial" w:cs="Arial"/>
                <w:kern w:val="0"/>
                <w:sz w:val="16"/>
                <w:szCs w:val="16"/>
              </w:rPr>
              <w:lastRenderedPageBreak/>
              <w:t>Describe the purpose of monitoring serum valproic acid levels.</w:t>
            </w:r>
          </w:p>
          <w:p w14:paraId="3AB79AC7" w14:textId="543B1D89" w:rsidR="006F0FB1" w:rsidRPr="006F0FB1" w:rsidRDefault="006F0FB1" w:rsidP="006F0FB1">
            <w:pPr>
              <w:pStyle w:val="ListParagraph"/>
              <w:numPr>
                <w:ilvl w:val="0"/>
                <w:numId w:val="7"/>
              </w:numPr>
              <w:autoSpaceDE w:val="0"/>
              <w:autoSpaceDN w:val="0"/>
              <w:adjustRightInd w:val="0"/>
              <w:rPr>
                <w:rFonts w:ascii="Arial" w:hAnsi="Arial" w:cs="Arial"/>
                <w:kern w:val="0"/>
                <w:sz w:val="16"/>
                <w:szCs w:val="16"/>
              </w:rPr>
            </w:pPr>
            <w:r w:rsidRPr="006F0FB1">
              <w:rPr>
                <w:rFonts w:ascii="Arial" w:hAnsi="Arial" w:cs="Arial"/>
                <w:kern w:val="0"/>
                <w:sz w:val="16"/>
                <w:szCs w:val="16"/>
              </w:rPr>
              <w:t>Evaluate the current state of vitamin B12 monitoring in patients with Type-2 Diabetes Mellitus (T2DM) who are</w:t>
            </w:r>
            <w:r w:rsidRPr="006F0FB1">
              <w:rPr>
                <w:rFonts w:ascii="Arial" w:hAnsi="Arial" w:cs="Arial"/>
                <w:kern w:val="0"/>
                <w:sz w:val="16"/>
                <w:szCs w:val="16"/>
              </w:rPr>
              <w:t xml:space="preserve"> </w:t>
            </w:r>
            <w:r w:rsidRPr="006F0FB1">
              <w:rPr>
                <w:rFonts w:ascii="Arial" w:hAnsi="Arial" w:cs="Arial"/>
                <w:kern w:val="0"/>
                <w:sz w:val="16"/>
                <w:szCs w:val="16"/>
              </w:rPr>
              <w:lastRenderedPageBreak/>
              <w:t>on metformin therapy, and then perform a pharmacist-driven intervention and assess the impact on the</w:t>
            </w:r>
            <w:r w:rsidRPr="006F0FB1">
              <w:rPr>
                <w:rFonts w:ascii="Arial" w:hAnsi="Arial" w:cs="Arial"/>
                <w:kern w:val="0"/>
                <w:sz w:val="16"/>
                <w:szCs w:val="16"/>
              </w:rPr>
              <w:t xml:space="preserve"> </w:t>
            </w:r>
            <w:r w:rsidRPr="006F0FB1">
              <w:rPr>
                <w:rFonts w:ascii="Arial" w:hAnsi="Arial" w:cs="Arial"/>
                <w:kern w:val="0"/>
                <w:sz w:val="16"/>
                <w:szCs w:val="16"/>
              </w:rPr>
              <w:t>frequency of this monitoring.</w:t>
            </w:r>
          </w:p>
          <w:p w14:paraId="5B78B595" w14:textId="1EF3D42C" w:rsidR="006F0FB1" w:rsidRPr="006F0FB1" w:rsidRDefault="006F0FB1" w:rsidP="006F0FB1">
            <w:pPr>
              <w:pStyle w:val="ListParagraph"/>
              <w:numPr>
                <w:ilvl w:val="0"/>
                <w:numId w:val="7"/>
              </w:numPr>
              <w:autoSpaceDE w:val="0"/>
              <w:autoSpaceDN w:val="0"/>
              <w:adjustRightInd w:val="0"/>
              <w:rPr>
                <w:rFonts w:ascii="Arial" w:hAnsi="Arial" w:cs="Arial"/>
                <w:kern w:val="0"/>
                <w:sz w:val="16"/>
                <w:szCs w:val="16"/>
              </w:rPr>
            </w:pPr>
            <w:r w:rsidRPr="006F0FB1">
              <w:rPr>
                <w:rFonts w:ascii="Arial" w:hAnsi="Arial" w:cs="Arial"/>
                <w:kern w:val="0"/>
                <w:sz w:val="16"/>
                <w:szCs w:val="16"/>
              </w:rPr>
              <w:t xml:space="preserve">Identify any </w:t>
            </w:r>
            <w:proofErr w:type="gramStart"/>
            <w:r w:rsidRPr="006F0FB1">
              <w:rPr>
                <w:rFonts w:ascii="Arial" w:hAnsi="Arial" w:cs="Arial"/>
                <w:kern w:val="0"/>
                <w:sz w:val="16"/>
                <w:szCs w:val="16"/>
              </w:rPr>
              <w:t>clinical</w:t>
            </w:r>
            <w:proofErr w:type="gramEnd"/>
            <w:r w:rsidRPr="006F0FB1">
              <w:rPr>
                <w:rFonts w:ascii="Arial" w:hAnsi="Arial" w:cs="Arial"/>
                <w:kern w:val="0"/>
                <w:sz w:val="16"/>
                <w:szCs w:val="16"/>
              </w:rPr>
              <w:t xml:space="preserve"> significant difference between buprenorphine/naloxone and buprenorphine injections when</w:t>
            </w:r>
            <w:r w:rsidRPr="006F0FB1">
              <w:rPr>
                <w:rFonts w:ascii="Arial" w:hAnsi="Arial" w:cs="Arial"/>
                <w:kern w:val="0"/>
                <w:sz w:val="16"/>
                <w:szCs w:val="16"/>
              </w:rPr>
              <w:t xml:space="preserve"> </w:t>
            </w:r>
            <w:r w:rsidRPr="006F0FB1">
              <w:rPr>
                <w:rFonts w:ascii="Arial" w:hAnsi="Arial" w:cs="Arial"/>
                <w:kern w:val="0"/>
                <w:sz w:val="16"/>
                <w:szCs w:val="16"/>
              </w:rPr>
              <w:t>prescribed for opioid use disorder at the Tuscaloosa Veterans Affairs Medical Center.</w:t>
            </w:r>
          </w:p>
          <w:p w14:paraId="2A238A61" w14:textId="4D549B3A" w:rsidR="00314EF3" w:rsidRDefault="006F0FB1" w:rsidP="006F0FB1">
            <w:pPr>
              <w:pStyle w:val="ListParagraph"/>
              <w:numPr>
                <w:ilvl w:val="0"/>
                <w:numId w:val="7"/>
              </w:numPr>
              <w:autoSpaceDE w:val="0"/>
              <w:autoSpaceDN w:val="0"/>
              <w:adjustRightInd w:val="0"/>
            </w:pPr>
            <w:r w:rsidRPr="006F0FB1">
              <w:rPr>
                <w:rFonts w:ascii="Arial" w:hAnsi="Arial" w:cs="Arial"/>
                <w:kern w:val="0"/>
                <w:sz w:val="16"/>
                <w:szCs w:val="16"/>
              </w:rPr>
              <w:t>Identify patients who are on unwarranted aspirin therapy with a DOAC and use this information to educate</w:t>
            </w:r>
            <w:r>
              <w:rPr>
                <w:rFonts w:ascii="Arial" w:hAnsi="Arial" w:cs="Arial"/>
                <w:kern w:val="0"/>
                <w:sz w:val="16"/>
                <w:szCs w:val="16"/>
              </w:rPr>
              <w:t xml:space="preserve"> </w:t>
            </w:r>
            <w:r w:rsidRPr="006F0FB1">
              <w:rPr>
                <w:rFonts w:ascii="Arial" w:hAnsi="Arial" w:cs="Arial"/>
                <w:kern w:val="0"/>
                <w:sz w:val="16"/>
                <w:szCs w:val="16"/>
              </w:rPr>
              <w:t>providers on guideline recommended use of aspirin and de-escalation.</w:t>
            </w:r>
          </w:p>
        </w:tc>
        <w:tc>
          <w:tcPr>
            <w:tcW w:w="1095" w:type="dxa"/>
          </w:tcPr>
          <w:p w14:paraId="3080812F" w14:textId="41D3D1F8" w:rsidR="00314EF3" w:rsidRDefault="006F0FB1">
            <w:r>
              <w:lastRenderedPageBreak/>
              <w:t>1</w:t>
            </w:r>
          </w:p>
        </w:tc>
        <w:tc>
          <w:tcPr>
            <w:tcW w:w="2590" w:type="dxa"/>
          </w:tcPr>
          <w:p w14:paraId="4CE8A8A9" w14:textId="65BAD167" w:rsidR="00314EF3" w:rsidRDefault="006F0FB1">
            <w:r>
              <w:rPr>
                <w:rFonts w:ascii="Arial" w:hAnsi="Arial" w:cs="Arial"/>
                <w:b/>
                <w:bCs/>
                <w:kern w:val="0"/>
                <w:sz w:val="16"/>
                <w:szCs w:val="16"/>
              </w:rPr>
              <w:t>0172-0000-23-011-L01-P</w:t>
            </w:r>
          </w:p>
        </w:tc>
      </w:tr>
      <w:tr w:rsidR="006F0FB1" w14:paraId="138B2CD3" w14:textId="77777777" w:rsidTr="006F0FB1">
        <w:trPr>
          <w:trHeight w:val="3095"/>
        </w:trPr>
        <w:tc>
          <w:tcPr>
            <w:tcW w:w="1795" w:type="dxa"/>
          </w:tcPr>
          <w:p w14:paraId="6CDC0F70" w14:textId="77777777" w:rsidR="006F0FB1" w:rsidRPr="009C382A" w:rsidRDefault="006F0FB1">
            <w:pPr>
              <w:rPr>
                <w:b/>
                <w:bCs/>
              </w:rPr>
            </w:pPr>
            <w:r w:rsidRPr="009C382A">
              <w:rPr>
                <w:b/>
                <w:bCs/>
              </w:rPr>
              <w:t>2-4</w:t>
            </w:r>
          </w:p>
          <w:p w14:paraId="7B110D13" w14:textId="59DC6CD7" w:rsidR="00B938F1" w:rsidRDefault="00B938F1">
            <w:r>
              <w:t>15</w:t>
            </w:r>
            <w:r w:rsidR="009C382A">
              <w:t>:25</w:t>
            </w:r>
          </w:p>
        </w:tc>
        <w:tc>
          <w:tcPr>
            <w:tcW w:w="2970" w:type="dxa"/>
          </w:tcPr>
          <w:p w14:paraId="43AAEBBD" w14:textId="215182E8" w:rsidR="006F0FB1" w:rsidRDefault="006F0FB1" w:rsidP="006F0FB1">
            <w:pPr>
              <w:spacing w:after="0" w:line="240" w:lineRule="auto"/>
            </w:pPr>
            <w:r>
              <w:t>John David Abrams, PharmD</w:t>
            </w:r>
          </w:p>
          <w:p w14:paraId="0F2294CB" w14:textId="29061663" w:rsidR="006F0FB1" w:rsidRDefault="006F0FB1" w:rsidP="006F0FB1">
            <w:pPr>
              <w:spacing w:after="0" w:line="240" w:lineRule="auto"/>
            </w:pPr>
            <w:r>
              <w:t>Janet “Lindsey” Pitt, PharmD</w:t>
            </w:r>
          </w:p>
          <w:p w14:paraId="3CB2EF23" w14:textId="05F1DBA4" w:rsidR="006F0FB1" w:rsidRDefault="006F0FB1" w:rsidP="006F0FB1">
            <w:pPr>
              <w:spacing w:after="0" w:line="240" w:lineRule="auto"/>
            </w:pPr>
            <w:proofErr w:type="spellStart"/>
            <w:r>
              <w:t>Madissen</w:t>
            </w:r>
            <w:proofErr w:type="spellEnd"/>
            <w:r>
              <w:t xml:space="preserve"> Humphries, PharmD</w:t>
            </w:r>
          </w:p>
          <w:p w14:paraId="378CDED1" w14:textId="00F64754" w:rsidR="006F0FB1" w:rsidRDefault="006F0FB1" w:rsidP="006F0FB1">
            <w:pPr>
              <w:spacing w:after="0" w:line="240" w:lineRule="auto"/>
            </w:pPr>
            <w:r>
              <w:t>Turner Huddleston, PharmD</w:t>
            </w:r>
          </w:p>
          <w:p w14:paraId="582F97B9" w14:textId="0E254D8A" w:rsidR="006F0FB1" w:rsidRDefault="006F0FB1" w:rsidP="006F0FB1">
            <w:r>
              <w:t>Alyssa Krug, PharmD</w:t>
            </w:r>
          </w:p>
        </w:tc>
        <w:tc>
          <w:tcPr>
            <w:tcW w:w="4500" w:type="dxa"/>
          </w:tcPr>
          <w:p w14:paraId="5FD14D8E" w14:textId="05DFC7E0" w:rsidR="006F0FB1" w:rsidRPr="006F0FB1" w:rsidRDefault="006F0FB1" w:rsidP="006F0FB1">
            <w:pPr>
              <w:pStyle w:val="ListParagraph"/>
              <w:numPr>
                <w:ilvl w:val="0"/>
                <w:numId w:val="8"/>
              </w:numPr>
              <w:autoSpaceDE w:val="0"/>
              <w:autoSpaceDN w:val="0"/>
              <w:adjustRightInd w:val="0"/>
              <w:rPr>
                <w:rFonts w:ascii="Arial" w:hAnsi="Arial" w:cs="Arial"/>
                <w:kern w:val="0"/>
                <w:sz w:val="16"/>
                <w:szCs w:val="16"/>
              </w:rPr>
            </w:pPr>
            <w:r w:rsidRPr="006F0FB1">
              <w:rPr>
                <w:rFonts w:ascii="Arial" w:hAnsi="Arial" w:cs="Arial"/>
                <w:kern w:val="0"/>
                <w:sz w:val="16"/>
                <w:szCs w:val="16"/>
              </w:rPr>
              <w:t xml:space="preserve">Apply evidence-based recommendations for the management of </w:t>
            </w:r>
            <w:proofErr w:type="spellStart"/>
            <w:r w:rsidRPr="006F0FB1">
              <w:rPr>
                <w:rFonts w:ascii="Arial" w:hAnsi="Arial" w:cs="Arial"/>
                <w:kern w:val="0"/>
                <w:sz w:val="16"/>
                <w:szCs w:val="16"/>
              </w:rPr>
              <w:t>vaso</w:t>
            </w:r>
            <w:proofErr w:type="spellEnd"/>
            <w:r w:rsidRPr="006F0FB1">
              <w:rPr>
                <w:rFonts w:ascii="Arial" w:hAnsi="Arial" w:cs="Arial"/>
                <w:kern w:val="0"/>
                <w:sz w:val="16"/>
                <w:szCs w:val="16"/>
              </w:rPr>
              <w:t>-occlusive crisis (VOC) and acute chest</w:t>
            </w:r>
            <w:r w:rsidRPr="006F0FB1">
              <w:rPr>
                <w:rFonts w:ascii="Arial" w:hAnsi="Arial" w:cs="Arial"/>
                <w:kern w:val="0"/>
                <w:sz w:val="16"/>
                <w:szCs w:val="16"/>
              </w:rPr>
              <w:t xml:space="preserve"> </w:t>
            </w:r>
            <w:r w:rsidRPr="006F0FB1">
              <w:rPr>
                <w:rFonts w:ascii="Arial" w:hAnsi="Arial" w:cs="Arial"/>
                <w:kern w:val="0"/>
                <w:sz w:val="16"/>
                <w:szCs w:val="16"/>
              </w:rPr>
              <w:t>syndrome (ACS) in patients with sickle cell disease.</w:t>
            </w:r>
          </w:p>
          <w:p w14:paraId="3C4F90FE" w14:textId="33520B17" w:rsidR="006F0FB1" w:rsidRPr="006F0FB1" w:rsidRDefault="006F0FB1" w:rsidP="006F0FB1">
            <w:pPr>
              <w:pStyle w:val="ListParagraph"/>
              <w:numPr>
                <w:ilvl w:val="0"/>
                <w:numId w:val="8"/>
              </w:numPr>
              <w:autoSpaceDE w:val="0"/>
              <w:autoSpaceDN w:val="0"/>
              <w:adjustRightInd w:val="0"/>
              <w:rPr>
                <w:rFonts w:ascii="Arial" w:hAnsi="Arial" w:cs="Arial"/>
                <w:kern w:val="0"/>
                <w:sz w:val="16"/>
                <w:szCs w:val="16"/>
              </w:rPr>
            </w:pPr>
            <w:r w:rsidRPr="006F0FB1">
              <w:rPr>
                <w:rFonts w:ascii="Arial" w:hAnsi="Arial" w:cs="Arial"/>
                <w:kern w:val="0"/>
                <w:sz w:val="16"/>
                <w:szCs w:val="16"/>
              </w:rPr>
              <w:t xml:space="preserve">Evaluate the appropriateness of HIT antibody test orders and apply </w:t>
            </w:r>
            <w:proofErr w:type="gramStart"/>
            <w:r w:rsidRPr="006F0FB1">
              <w:rPr>
                <w:rFonts w:ascii="Arial" w:hAnsi="Arial" w:cs="Arial"/>
                <w:kern w:val="0"/>
                <w:sz w:val="16"/>
                <w:szCs w:val="16"/>
              </w:rPr>
              <w:t>evidence based</w:t>
            </w:r>
            <w:proofErr w:type="gramEnd"/>
            <w:r w:rsidRPr="006F0FB1">
              <w:rPr>
                <w:rFonts w:ascii="Arial" w:hAnsi="Arial" w:cs="Arial"/>
                <w:kern w:val="0"/>
                <w:sz w:val="16"/>
                <w:szCs w:val="16"/>
              </w:rPr>
              <w:t xml:space="preserve"> Heparin Induced</w:t>
            </w:r>
            <w:r w:rsidRPr="006F0FB1">
              <w:rPr>
                <w:rFonts w:ascii="Arial" w:hAnsi="Arial" w:cs="Arial"/>
                <w:kern w:val="0"/>
                <w:sz w:val="16"/>
                <w:szCs w:val="16"/>
              </w:rPr>
              <w:t xml:space="preserve"> </w:t>
            </w:r>
            <w:r w:rsidRPr="006F0FB1">
              <w:rPr>
                <w:rFonts w:ascii="Arial" w:hAnsi="Arial" w:cs="Arial"/>
                <w:kern w:val="0"/>
                <w:sz w:val="16"/>
                <w:szCs w:val="16"/>
              </w:rPr>
              <w:t>Thrombocytopenia management.</w:t>
            </w:r>
          </w:p>
          <w:p w14:paraId="13C0B473" w14:textId="5F33921D" w:rsidR="006F0FB1" w:rsidRPr="006F0FB1" w:rsidRDefault="006F0FB1" w:rsidP="006F0FB1">
            <w:pPr>
              <w:pStyle w:val="ListParagraph"/>
              <w:numPr>
                <w:ilvl w:val="0"/>
                <w:numId w:val="8"/>
              </w:numPr>
              <w:autoSpaceDE w:val="0"/>
              <w:autoSpaceDN w:val="0"/>
              <w:adjustRightInd w:val="0"/>
              <w:rPr>
                <w:rFonts w:ascii="Arial" w:hAnsi="Arial" w:cs="Arial"/>
                <w:kern w:val="0"/>
                <w:sz w:val="16"/>
                <w:szCs w:val="16"/>
              </w:rPr>
            </w:pPr>
            <w:r w:rsidRPr="006F0FB1">
              <w:rPr>
                <w:rFonts w:ascii="Arial" w:hAnsi="Arial" w:cs="Arial"/>
                <w:kern w:val="0"/>
                <w:sz w:val="16"/>
                <w:szCs w:val="16"/>
              </w:rPr>
              <w:t>Construct appropriate pharmacist interventions to appropriately manage a critically ill patient</w:t>
            </w:r>
            <w:r w:rsidRPr="006F0FB1">
              <w:rPr>
                <w:rFonts w:ascii="Arial" w:eastAsia="Arial" w:hAnsi="Arial" w:cs="Arial" w:hint="eastAsia"/>
                <w:kern w:val="0"/>
                <w:sz w:val="16"/>
                <w:szCs w:val="16"/>
              </w:rPr>
              <w:t>􀂶</w:t>
            </w:r>
            <w:r w:rsidRPr="006F0FB1">
              <w:rPr>
                <w:rFonts w:ascii="Arial" w:hAnsi="Arial" w:cs="Arial"/>
                <w:kern w:val="0"/>
                <w:sz w:val="16"/>
                <w:szCs w:val="16"/>
              </w:rPr>
              <w:t>s analgesia and</w:t>
            </w:r>
            <w:r w:rsidRPr="006F0FB1">
              <w:rPr>
                <w:rFonts w:ascii="Arial" w:hAnsi="Arial" w:cs="Arial"/>
                <w:kern w:val="0"/>
                <w:sz w:val="16"/>
                <w:szCs w:val="16"/>
              </w:rPr>
              <w:t xml:space="preserve"> </w:t>
            </w:r>
            <w:r w:rsidRPr="006F0FB1">
              <w:rPr>
                <w:rFonts w:ascii="Arial" w:hAnsi="Arial" w:cs="Arial"/>
                <w:kern w:val="0"/>
                <w:sz w:val="16"/>
                <w:szCs w:val="16"/>
              </w:rPr>
              <w:t>sedation regimen.</w:t>
            </w:r>
          </w:p>
          <w:p w14:paraId="7CC0D254" w14:textId="4D5F73EB" w:rsidR="006F0FB1" w:rsidRPr="006F0FB1" w:rsidRDefault="006F0FB1" w:rsidP="006F0FB1">
            <w:pPr>
              <w:pStyle w:val="ListParagraph"/>
              <w:numPr>
                <w:ilvl w:val="0"/>
                <w:numId w:val="8"/>
              </w:numPr>
              <w:autoSpaceDE w:val="0"/>
              <w:autoSpaceDN w:val="0"/>
              <w:adjustRightInd w:val="0"/>
              <w:rPr>
                <w:rFonts w:ascii="Arial" w:hAnsi="Arial" w:cs="Arial"/>
                <w:kern w:val="0"/>
                <w:sz w:val="16"/>
                <w:szCs w:val="16"/>
              </w:rPr>
            </w:pPr>
            <w:r w:rsidRPr="006F0FB1">
              <w:rPr>
                <w:rFonts w:ascii="Arial" w:hAnsi="Arial" w:cs="Arial"/>
                <w:kern w:val="0"/>
                <w:sz w:val="16"/>
                <w:szCs w:val="16"/>
              </w:rPr>
              <w:t>Describe the impact of pharmacy involvement in the Centers for Medicare and Medicaid Services' (CMS) sepsis</w:t>
            </w:r>
            <w:r w:rsidRPr="006F0FB1">
              <w:rPr>
                <w:rFonts w:ascii="Arial" w:hAnsi="Arial" w:cs="Arial"/>
                <w:kern w:val="0"/>
                <w:sz w:val="16"/>
                <w:szCs w:val="16"/>
              </w:rPr>
              <w:t xml:space="preserve"> </w:t>
            </w:r>
            <w:r w:rsidRPr="006F0FB1">
              <w:rPr>
                <w:rFonts w:ascii="Arial" w:hAnsi="Arial" w:cs="Arial"/>
                <w:kern w:val="0"/>
                <w:sz w:val="16"/>
                <w:szCs w:val="16"/>
              </w:rPr>
              <w:t>bundle compliance.</w:t>
            </w:r>
          </w:p>
          <w:p w14:paraId="34DC7DEF" w14:textId="3C421388" w:rsidR="006F0FB1" w:rsidRPr="006F0FB1" w:rsidRDefault="006F0FB1" w:rsidP="006F0FB1">
            <w:pPr>
              <w:pStyle w:val="ListParagraph"/>
              <w:numPr>
                <w:ilvl w:val="0"/>
                <w:numId w:val="8"/>
              </w:numPr>
              <w:autoSpaceDE w:val="0"/>
              <w:autoSpaceDN w:val="0"/>
              <w:adjustRightInd w:val="0"/>
              <w:rPr>
                <w:rFonts w:ascii="Arial" w:hAnsi="Arial" w:cs="Arial"/>
                <w:kern w:val="0"/>
                <w:sz w:val="16"/>
                <w:szCs w:val="16"/>
              </w:rPr>
            </w:pPr>
            <w:r w:rsidRPr="006F0FB1">
              <w:rPr>
                <w:rFonts w:ascii="Arial" w:hAnsi="Arial" w:cs="Arial"/>
                <w:kern w:val="0"/>
                <w:sz w:val="16"/>
                <w:szCs w:val="16"/>
              </w:rPr>
              <w:t>Describe the overall rate of de-escalation from broad spectrum antibiotics and characterize any trends in</w:t>
            </w:r>
            <w:r w:rsidRPr="006F0FB1">
              <w:rPr>
                <w:rFonts w:ascii="Arial" w:hAnsi="Arial" w:cs="Arial"/>
                <w:kern w:val="0"/>
                <w:sz w:val="16"/>
                <w:szCs w:val="16"/>
              </w:rPr>
              <w:t xml:space="preserve"> </w:t>
            </w:r>
            <w:r w:rsidRPr="006F0FB1">
              <w:rPr>
                <w:rFonts w:ascii="Arial" w:hAnsi="Arial" w:cs="Arial"/>
                <w:kern w:val="0"/>
                <w:sz w:val="16"/>
                <w:szCs w:val="16"/>
              </w:rPr>
              <w:t>antibiotic usage in patients with urinary tract infections.</w:t>
            </w:r>
          </w:p>
        </w:tc>
        <w:tc>
          <w:tcPr>
            <w:tcW w:w="1095" w:type="dxa"/>
          </w:tcPr>
          <w:p w14:paraId="09D7F89E" w14:textId="6BA401D5" w:rsidR="006F0FB1" w:rsidRDefault="006F0FB1">
            <w:r>
              <w:t>1.25</w:t>
            </w:r>
          </w:p>
        </w:tc>
        <w:tc>
          <w:tcPr>
            <w:tcW w:w="2590" w:type="dxa"/>
          </w:tcPr>
          <w:p w14:paraId="3D69811E" w14:textId="7AEFA3DC" w:rsidR="006F0FB1" w:rsidRDefault="006F0FB1">
            <w:pPr>
              <w:rPr>
                <w:rFonts w:ascii="Arial" w:hAnsi="Arial" w:cs="Arial"/>
                <w:b/>
                <w:bCs/>
                <w:kern w:val="0"/>
                <w:sz w:val="16"/>
                <w:szCs w:val="16"/>
              </w:rPr>
            </w:pPr>
            <w:r>
              <w:rPr>
                <w:rFonts w:ascii="Arial" w:hAnsi="Arial" w:cs="Arial"/>
                <w:b/>
                <w:bCs/>
                <w:kern w:val="0"/>
                <w:sz w:val="16"/>
                <w:szCs w:val="16"/>
              </w:rPr>
              <w:t>0172-0000-23-012-L01-P</w:t>
            </w:r>
          </w:p>
        </w:tc>
      </w:tr>
      <w:tr w:rsidR="006F0FB1" w14:paraId="2331CB26" w14:textId="77777777" w:rsidTr="00BA6A0F">
        <w:tc>
          <w:tcPr>
            <w:tcW w:w="1795" w:type="dxa"/>
          </w:tcPr>
          <w:p w14:paraId="09D1A3DB" w14:textId="77777777" w:rsidR="006F0FB1" w:rsidRPr="009C382A" w:rsidRDefault="006F0FB1">
            <w:pPr>
              <w:rPr>
                <w:b/>
                <w:bCs/>
              </w:rPr>
            </w:pPr>
            <w:r w:rsidRPr="009C382A">
              <w:rPr>
                <w:b/>
                <w:bCs/>
              </w:rPr>
              <w:t>3-1</w:t>
            </w:r>
          </w:p>
          <w:p w14:paraId="081CAADB" w14:textId="6F4C6911" w:rsidR="009C382A" w:rsidRDefault="009C382A">
            <w:r>
              <w:t>12:00</w:t>
            </w:r>
          </w:p>
        </w:tc>
        <w:tc>
          <w:tcPr>
            <w:tcW w:w="2970" w:type="dxa"/>
          </w:tcPr>
          <w:p w14:paraId="45165373" w14:textId="484D1BE4" w:rsidR="006F0FB1" w:rsidRDefault="006F0FB1" w:rsidP="006F0FB1">
            <w:pPr>
              <w:spacing w:after="0" w:line="240" w:lineRule="auto"/>
            </w:pPr>
            <w:r>
              <w:t>Leah Winchester, PharmD</w:t>
            </w:r>
          </w:p>
          <w:p w14:paraId="048C2DA2" w14:textId="09CD120B" w:rsidR="006F0FB1" w:rsidRDefault="006F0FB1" w:rsidP="006F0FB1">
            <w:pPr>
              <w:spacing w:after="0" w:line="240" w:lineRule="auto"/>
            </w:pPr>
            <w:r>
              <w:t>Shelby Buller, PharmD</w:t>
            </w:r>
          </w:p>
          <w:p w14:paraId="10BF64F0" w14:textId="2D95BB9E" w:rsidR="006F0FB1" w:rsidRDefault="006F0FB1" w:rsidP="006F0FB1">
            <w:pPr>
              <w:spacing w:after="0" w:line="240" w:lineRule="auto"/>
            </w:pPr>
            <w:r>
              <w:t>Abigail Switzer, PharmD</w:t>
            </w:r>
          </w:p>
          <w:p w14:paraId="4ED33F8A" w14:textId="67C17C91" w:rsidR="006F0FB1" w:rsidRDefault="006F0FB1" w:rsidP="006F0FB1">
            <w:r>
              <w:t>Sara Tyler, PharmD</w:t>
            </w:r>
          </w:p>
        </w:tc>
        <w:tc>
          <w:tcPr>
            <w:tcW w:w="4500" w:type="dxa"/>
          </w:tcPr>
          <w:p w14:paraId="3FB40623" w14:textId="4F5EE9A9" w:rsidR="006F0FB1" w:rsidRPr="006F0FB1" w:rsidRDefault="006F0FB1" w:rsidP="006F0FB1">
            <w:pPr>
              <w:pStyle w:val="ListParagraph"/>
              <w:numPr>
                <w:ilvl w:val="0"/>
                <w:numId w:val="9"/>
              </w:numPr>
              <w:autoSpaceDE w:val="0"/>
              <w:autoSpaceDN w:val="0"/>
              <w:adjustRightInd w:val="0"/>
              <w:rPr>
                <w:rFonts w:ascii="Arial" w:hAnsi="Arial" w:cs="Arial"/>
                <w:kern w:val="0"/>
                <w:sz w:val="16"/>
                <w:szCs w:val="16"/>
              </w:rPr>
            </w:pPr>
            <w:r w:rsidRPr="006F0FB1">
              <w:rPr>
                <w:rFonts w:ascii="Arial" w:hAnsi="Arial" w:cs="Arial"/>
                <w:kern w:val="0"/>
                <w:sz w:val="16"/>
                <w:szCs w:val="16"/>
              </w:rPr>
              <w:t>Identify appropriate patients for implementation of empagliflozin to decrease cardiovascular risk, improve</w:t>
            </w:r>
            <w:r w:rsidRPr="006F0FB1">
              <w:rPr>
                <w:rFonts w:ascii="Arial" w:hAnsi="Arial" w:cs="Arial"/>
                <w:kern w:val="0"/>
                <w:sz w:val="16"/>
                <w:szCs w:val="16"/>
              </w:rPr>
              <w:t xml:space="preserve"> </w:t>
            </w:r>
            <w:r w:rsidRPr="006F0FB1">
              <w:rPr>
                <w:rFonts w:ascii="Arial" w:hAnsi="Arial" w:cs="Arial"/>
                <w:kern w:val="0"/>
                <w:sz w:val="16"/>
                <w:szCs w:val="16"/>
              </w:rPr>
              <w:t>diabetes, decrease heart-failure related hospitalizations and slow renal function decline.</w:t>
            </w:r>
          </w:p>
          <w:p w14:paraId="05E094B6" w14:textId="6F0789EC" w:rsidR="006F0FB1" w:rsidRPr="006F0FB1" w:rsidRDefault="006F0FB1" w:rsidP="006F0FB1">
            <w:pPr>
              <w:pStyle w:val="ListParagraph"/>
              <w:numPr>
                <w:ilvl w:val="0"/>
                <w:numId w:val="9"/>
              </w:numPr>
              <w:autoSpaceDE w:val="0"/>
              <w:autoSpaceDN w:val="0"/>
              <w:adjustRightInd w:val="0"/>
              <w:rPr>
                <w:rFonts w:ascii="Arial" w:hAnsi="Arial" w:cs="Arial"/>
                <w:kern w:val="0"/>
                <w:sz w:val="16"/>
                <w:szCs w:val="16"/>
              </w:rPr>
            </w:pPr>
            <w:r w:rsidRPr="006F0FB1">
              <w:rPr>
                <w:rFonts w:ascii="Arial" w:hAnsi="Arial" w:cs="Arial"/>
                <w:kern w:val="0"/>
                <w:sz w:val="16"/>
                <w:szCs w:val="16"/>
              </w:rPr>
              <w:t>Identify benefits associated with symptom-triggered benzodiazepine dosing strategies when compared to</w:t>
            </w:r>
            <w:r>
              <w:rPr>
                <w:rFonts w:ascii="Arial" w:hAnsi="Arial" w:cs="Arial"/>
                <w:kern w:val="0"/>
                <w:sz w:val="16"/>
                <w:szCs w:val="16"/>
              </w:rPr>
              <w:t xml:space="preserve"> </w:t>
            </w:r>
            <w:r w:rsidRPr="006F0FB1">
              <w:rPr>
                <w:rFonts w:ascii="Arial" w:hAnsi="Arial" w:cs="Arial"/>
                <w:kern w:val="0"/>
                <w:sz w:val="16"/>
                <w:szCs w:val="16"/>
              </w:rPr>
              <w:t>scheduled benzodiazepine administration.</w:t>
            </w:r>
          </w:p>
          <w:p w14:paraId="13B5C3E4" w14:textId="77777777" w:rsidR="006F0FB1" w:rsidRPr="006F0FB1" w:rsidRDefault="006F0FB1" w:rsidP="006F0FB1">
            <w:pPr>
              <w:pStyle w:val="ListParagraph"/>
              <w:numPr>
                <w:ilvl w:val="0"/>
                <w:numId w:val="9"/>
              </w:numPr>
              <w:autoSpaceDE w:val="0"/>
              <w:autoSpaceDN w:val="0"/>
              <w:adjustRightInd w:val="0"/>
              <w:rPr>
                <w:rFonts w:ascii="Arial" w:hAnsi="Arial" w:cs="Arial"/>
                <w:kern w:val="0"/>
                <w:sz w:val="16"/>
                <w:szCs w:val="16"/>
              </w:rPr>
            </w:pPr>
            <w:r w:rsidRPr="006F0FB1">
              <w:rPr>
                <w:rFonts w:ascii="Arial" w:hAnsi="Arial" w:cs="Arial"/>
                <w:kern w:val="0"/>
                <w:sz w:val="16"/>
                <w:szCs w:val="16"/>
              </w:rPr>
              <w:t>Evaluate the safety of vancomycin use and identify the need for transition to AUC/MIC based dosing.</w:t>
            </w:r>
          </w:p>
          <w:p w14:paraId="193982E0" w14:textId="349117F5" w:rsidR="006F0FB1" w:rsidRPr="006F0FB1" w:rsidRDefault="006F0FB1" w:rsidP="006F0FB1">
            <w:pPr>
              <w:pStyle w:val="ListParagraph"/>
              <w:numPr>
                <w:ilvl w:val="0"/>
                <w:numId w:val="9"/>
              </w:numPr>
              <w:autoSpaceDE w:val="0"/>
              <w:autoSpaceDN w:val="0"/>
              <w:adjustRightInd w:val="0"/>
              <w:rPr>
                <w:rFonts w:ascii="Arial" w:hAnsi="Arial" w:cs="Arial"/>
                <w:kern w:val="0"/>
                <w:sz w:val="16"/>
                <w:szCs w:val="16"/>
              </w:rPr>
            </w:pPr>
            <w:r w:rsidRPr="006F0FB1">
              <w:rPr>
                <w:rFonts w:ascii="Arial" w:hAnsi="Arial" w:cs="Arial"/>
                <w:kern w:val="0"/>
                <w:sz w:val="16"/>
                <w:szCs w:val="16"/>
              </w:rPr>
              <w:t>I</w:t>
            </w:r>
            <w:r w:rsidRPr="006F0FB1">
              <w:rPr>
                <w:rFonts w:ascii="Arial" w:hAnsi="Arial" w:cs="Arial"/>
                <w:kern w:val="0"/>
                <w:sz w:val="16"/>
                <w:szCs w:val="16"/>
              </w:rPr>
              <w:t>dentify patient-specific factors that can increase a patient</w:t>
            </w:r>
            <w:r>
              <w:rPr>
                <w:rFonts w:ascii="Arial" w:eastAsia="Arial" w:hAnsi="Arial" w:cs="Arial"/>
                <w:kern w:val="0"/>
                <w:sz w:val="16"/>
                <w:szCs w:val="16"/>
              </w:rPr>
              <w:t>’</w:t>
            </w:r>
            <w:r w:rsidRPr="006F0FB1">
              <w:rPr>
                <w:rFonts w:ascii="Arial" w:hAnsi="Arial" w:cs="Arial"/>
                <w:kern w:val="0"/>
                <w:sz w:val="16"/>
                <w:szCs w:val="16"/>
              </w:rPr>
              <w:t>s risk for hypoglycemia.</w:t>
            </w:r>
          </w:p>
        </w:tc>
        <w:tc>
          <w:tcPr>
            <w:tcW w:w="1095" w:type="dxa"/>
          </w:tcPr>
          <w:p w14:paraId="4E5E9AE0" w14:textId="3D50D0CB" w:rsidR="006F0FB1" w:rsidRDefault="006F0FB1">
            <w:r>
              <w:t>1</w:t>
            </w:r>
          </w:p>
        </w:tc>
        <w:tc>
          <w:tcPr>
            <w:tcW w:w="2590" w:type="dxa"/>
          </w:tcPr>
          <w:p w14:paraId="1E685280" w14:textId="6558DEF0" w:rsidR="006F0FB1" w:rsidRDefault="006F0FB1">
            <w:pPr>
              <w:rPr>
                <w:rFonts w:ascii="Arial" w:hAnsi="Arial" w:cs="Arial"/>
                <w:b/>
                <w:bCs/>
                <w:kern w:val="0"/>
                <w:sz w:val="16"/>
                <w:szCs w:val="16"/>
              </w:rPr>
            </w:pPr>
            <w:r>
              <w:rPr>
                <w:rFonts w:ascii="Arial" w:hAnsi="Arial" w:cs="Arial"/>
                <w:b/>
                <w:bCs/>
                <w:kern w:val="0"/>
                <w:sz w:val="16"/>
                <w:szCs w:val="16"/>
              </w:rPr>
              <w:t>0172-0000-23-013-L01-P</w:t>
            </w:r>
          </w:p>
        </w:tc>
      </w:tr>
      <w:tr w:rsidR="006F0FB1" w14:paraId="492D97D6" w14:textId="77777777" w:rsidTr="00BA6A0F">
        <w:tc>
          <w:tcPr>
            <w:tcW w:w="1795" w:type="dxa"/>
          </w:tcPr>
          <w:p w14:paraId="5D9D3AFE" w14:textId="77777777" w:rsidR="006F0FB1" w:rsidRPr="009C382A" w:rsidRDefault="006F0FB1">
            <w:pPr>
              <w:rPr>
                <w:b/>
                <w:bCs/>
              </w:rPr>
            </w:pPr>
            <w:r w:rsidRPr="009C382A">
              <w:rPr>
                <w:b/>
                <w:bCs/>
              </w:rPr>
              <w:t>3-2</w:t>
            </w:r>
          </w:p>
          <w:p w14:paraId="0A0233EB" w14:textId="67B91799" w:rsidR="009C382A" w:rsidRDefault="009C382A">
            <w:r>
              <w:t>13:05</w:t>
            </w:r>
          </w:p>
        </w:tc>
        <w:tc>
          <w:tcPr>
            <w:tcW w:w="2970" w:type="dxa"/>
          </w:tcPr>
          <w:p w14:paraId="037721E0" w14:textId="297B2A21" w:rsidR="006F0FB1" w:rsidRDefault="006F0FB1" w:rsidP="006F0FB1">
            <w:pPr>
              <w:spacing w:after="0" w:line="240" w:lineRule="auto"/>
            </w:pPr>
            <w:r>
              <w:t>Adriane York, PharmD</w:t>
            </w:r>
          </w:p>
          <w:p w14:paraId="0C5B539D" w14:textId="320F0522" w:rsidR="006F0FB1" w:rsidRDefault="006F0FB1" w:rsidP="006F0FB1">
            <w:pPr>
              <w:spacing w:after="0" w:line="240" w:lineRule="auto"/>
            </w:pPr>
            <w:r>
              <w:t>Jennifer Ha, PharmD</w:t>
            </w:r>
          </w:p>
          <w:p w14:paraId="26A35B38" w14:textId="7FC7AE7C" w:rsidR="006F0FB1" w:rsidRDefault="006F0FB1" w:rsidP="006F0FB1">
            <w:pPr>
              <w:spacing w:after="0" w:line="240" w:lineRule="auto"/>
            </w:pPr>
            <w:r>
              <w:t>Lacey Hughes, PharmD</w:t>
            </w:r>
          </w:p>
          <w:p w14:paraId="118E6F01" w14:textId="4A845353" w:rsidR="006F0FB1" w:rsidRDefault="006F0FB1" w:rsidP="006F0FB1">
            <w:r>
              <w:t>Cecilia Hughes, PharmD</w:t>
            </w:r>
          </w:p>
        </w:tc>
        <w:tc>
          <w:tcPr>
            <w:tcW w:w="4500" w:type="dxa"/>
          </w:tcPr>
          <w:p w14:paraId="1CF46AFB" w14:textId="71E48CC9" w:rsidR="006F0FB1" w:rsidRPr="006F0FB1" w:rsidRDefault="006F0FB1" w:rsidP="006F0FB1">
            <w:pPr>
              <w:pStyle w:val="ListParagraph"/>
              <w:numPr>
                <w:ilvl w:val="0"/>
                <w:numId w:val="10"/>
              </w:numPr>
              <w:autoSpaceDE w:val="0"/>
              <w:autoSpaceDN w:val="0"/>
              <w:adjustRightInd w:val="0"/>
              <w:rPr>
                <w:rFonts w:ascii="Arial" w:hAnsi="Arial" w:cs="Arial"/>
                <w:kern w:val="0"/>
                <w:sz w:val="16"/>
                <w:szCs w:val="16"/>
              </w:rPr>
            </w:pPr>
            <w:r w:rsidRPr="006F0FB1">
              <w:rPr>
                <w:rFonts w:ascii="Arial" w:hAnsi="Arial" w:cs="Arial"/>
                <w:kern w:val="0"/>
                <w:sz w:val="16"/>
                <w:szCs w:val="16"/>
              </w:rPr>
              <w:t>Evaluate the impact of utilizing continuous glucose monitoring devices on financial and clinical outcomes in a</w:t>
            </w:r>
            <w:r w:rsidRPr="006F0FB1">
              <w:rPr>
                <w:rFonts w:ascii="Arial" w:hAnsi="Arial" w:cs="Arial"/>
                <w:kern w:val="0"/>
                <w:sz w:val="16"/>
                <w:szCs w:val="16"/>
              </w:rPr>
              <w:t xml:space="preserve"> </w:t>
            </w:r>
            <w:r w:rsidRPr="006F0FB1">
              <w:rPr>
                <w:rFonts w:ascii="Arial" w:hAnsi="Arial" w:cs="Arial"/>
                <w:kern w:val="0"/>
                <w:sz w:val="16"/>
                <w:szCs w:val="16"/>
              </w:rPr>
              <w:t>family medicine clinic.</w:t>
            </w:r>
          </w:p>
          <w:p w14:paraId="67B8E34B" w14:textId="77777777" w:rsidR="006F0FB1" w:rsidRPr="006F0FB1" w:rsidRDefault="006F0FB1" w:rsidP="006F0FB1">
            <w:pPr>
              <w:pStyle w:val="ListParagraph"/>
              <w:numPr>
                <w:ilvl w:val="0"/>
                <w:numId w:val="10"/>
              </w:numPr>
              <w:autoSpaceDE w:val="0"/>
              <w:autoSpaceDN w:val="0"/>
              <w:adjustRightInd w:val="0"/>
              <w:rPr>
                <w:rFonts w:ascii="Arial" w:hAnsi="Arial" w:cs="Arial"/>
                <w:kern w:val="0"/>
                <w:sz w:val="16"/>
                <w:szCs w:val="16"/>
              </w:rPr>
            </w:pPr>
            <w:r w:rsidRPr="006F0FB1">
              <w:rPr>
                <w:rFonts w:ascii="Arial" w:hAnsi="Arial" w:cs="Arial"/>
                <w:kern w:val="0"/>
                <w:sz w:val="16"/>
                <w:szCs w:val="16"/>
              </w:rPr>
              <w:t>Compare the hemoglobin A1c lowering ability of insulin glargine and insulin glargine-</w:t>
            </w:r>
            <w:proofErr w:type="spellStart"/>
            <w:r w:rsidRPr="006F0FB1">
              <w:rPr>
                <w:rFonts w:ascii="Arial" w:hAnsi="Arial" w:cs="Arial"/>
                <w:kern w:val="0"/>
                <w:sz w:val="16"/>
                <w:szCs w:val="16"/>
              </w:rPr>
              <w:t>yfgn</w:t>
            </w:r>
            <w:proofErr w:type="spellEnd"/>
            <w:r w:rsidRPr="006F0FB1">
              <w:rPr>
                <w:rFonts w:ascii="Arial" w:hAnsi="Arial" w:cs="Arial"/>
                <w:kern w:val="0"/>
                <w:sz w:val="16"/>
                <w:szCs w:val="16"/>
              </w:rPr>
              <w:t>.</w:t>
            </w:r>
          </w:p>
          <w:p w14:paraId="3AF4925B" w14:textId="77777777" w:rsidR="006F0FB1" w:rsidRPr="006F0FB1" w:rsidRDefault="006F0FB1" w:rsidP="006F0FB1">
            <w:pPr>
              <w:pStyle w:val="ListParagraph"/>
              <w:numPr>
                <w:ilvl w:val="0"/>
                <w:numId w:val="10"/>
              </w:numPr>
              <w:autoSpaceDE w:val="0"/>
              <w:autoSpaceDN w:val="0"/>
              <w:adjustRightInd w:val="0"/>
              <w:rPr>
                <w:rFonts w:ascii="Arial" w:hAnsi="Arial" w:cs="Arial"/>
                <w:kern w:val="0"/>
                <w:sz w:val="16"/>
                <w:szCs w:val="16"/>
              </w:rPr>
            </w:pPr>
            <w:r w:rsidRPr="006F0FB1">
              <w:rPr>
                <w:rFonts w:ascii="Arial" w:hAnsi="Arial" w:cs="Arial"/>
                <w:kern w:val="0"/>
                <w:sz w:val="16"/>
                <w:szCs w:val="16"/>
              </w:rPr>
              <w:t>Describe the impact that pharmacist-driven inhaler education has on symptom management for COPD.</w:t>
            </w:r>
          </w:p>
          <w:p w14:paraId="2045286C" w14:textId="7BEE0E09" w:rsidR="006F0FB1" w:rsidRPr="006F0FB1" w:rsidRDefault="006F0FB1" w:rsidP="006F0FB1">
            <w:pPr>
              <w:pStyle w:val="ListParagraph"/>
              <w:numPr>
                <w:ilvl w:val="0"/>
                <w:numId w:val="10"/>
              </w:numPr>
              <w:autoSpaceDE w:val="0"/>
              <w:autoSpaceDN w:val="0"/>
              <w:adjustRightInd w:val="0"/>
              <w:rPr>
                <w:rFonts w:ascii="Arial" w:hAnsi="Arial" w:cs="Arial"/>
                <w:kern w:val="0"/>
                <w:sz w:val="16"/>
                <w:szCs w:val="16"/>
              </w:rPr>
            </w:pPr>
            <w:r w:rsidRPr="006F0FB1">
              <w:rPr>
                <w:rFonts w:ascii="Arial" w:hAnsi="Arial" w:cs="Arial"/>
                <w:kern w:val="0"/>
                <w:sz w:val="16"/>
                <w:szCs w:val="16"/>
              </w:rPr>
              <w:t xml:space="preserve">Discuss the difference in adherence rates to Star measure anti-diabetic agents in VIVA MEDICARE </w:t>
            </w:r>
            <w:r w:rsidRPr="006F0FB1">
              <w:rPr>
                <w:rFonts w:ascii="Arial" w:hAnsi="Arial" w:cs="Arial"/>
                <w:kern w:val="0"/>
                <w:sz w:val="16"/>
                <w:szCs w:val="16"/>
              </w:rPr>
              <w:lastRenderedPageBreak/>
              <w:t>members</w:t>
            </w:r>
            <w:r>
              <w:rPr>
                <w:rFonts w:ascii="Arial" w:hAnsi="Arial" w:cs="Arial"/>
                <w:kern w:val="0"/>
                <w:sz w:val="16"/>
                <w:szCs w:val="16"/>
              </w:rPr>
              <w:t xml:space="preserve"> </w:t>
            </w:r>
            <w:r w:rsidRPr="006F0FB1">
              <w:rPr>
                <w:rFonts w:ascii="Arial" w:hAnsi="Arial" w:cs="Arial"/>
                <w:kern w:val="0"/>
                <w:sz w:val="16"/>
                <w:szCs w:val="16"/>
              </w:rPr>
              <w:t>living in highly rural vs. urban counties as defined by the Alabama Rural Health Association</w:t>
            </w:r>
          </w:p>
        </w:tc>
        <w:tc>
          <w:tcPr>
            <w:tcW w:w="1095" w:type="dxa"/>
          </w:tcPr>
          <w:p w14:paraId="182C6D69" w14:textId="769D7BAF" w:rsidR="006F0FB1" w:rsidRDefault="006F0FB1">
            <w:r>
              <w:lastRenderedPageBreak/>
              <w:t>1</w:t>
            </w:r>
          </w:p>
        </w:tc>
        <w:tc>
          <w:tcPr>
            <w:tcW w:w="2590" w:type="dxa"/>
          </w:tcPr>
          <w:p w14:paraId="7B6E1521" w14:textId="71DF93DF" w:rsidR="006F0FB1" w:rsidRDefault="006F0FB1">
            <w:pPr>
              <w:rPr>
                <w:rFonts w:ascii="Arial" w:hAnsi="Arial" w:cs="Arial"/>
                <w:b/>
                <w:bCs/>
                <w:kern w:val="0"/>
                <w:sz w:val="16"/>
                <w:szCs w:val="16"/>
              </w:rPr>
            </w:pPr>
            <w:r>
              <w:rPr>
                <w:rFonts w:ascii="Arial" w:hAnsi="Arial" w:cs="Arial"/>
                <w:b/>
                <w:bCs/>
                <w:kern w:val="0"/>
                <w:sz w:val="16"/>
                <w:szCs w:val="16"/>
              </w:rPr>
              <w:t>0172-0000-23-014-L01-P</w:t>
            </w:r>
          </w:p>
        </w:tc>
      </w:tr>
      <w:tr w:rsidR="006F0FB1" w14:paraId="69C8E408" w14:textId="77777777" w:rsidTr="00BA6A0F">
        <w:tc>
          <w:tcPr>
            <w:tcW w:w="1795" w:type="dxa"/>
          </w:tcPr>
          <w:p w14:paraId="06EE6FA9" w14:textId="77777777" w:rsidR="006F0FB1" w:rsidRPr="009C382A" w:rsidRDefault="006F0FB1">
            <w:pPr>
              <w:rPr>
                <w:b/>
                <w:bCs/>
              </w:rPr>
            </w:pPr>
            <w:r w:rsidRPr="009C382A">
              <w:rPr>
                <w:b/>
                <w:bCs/>
              </w:rPr>
              <w:t>3-3</w:t>
            </w:r>
          </w:p>
          <w:p w14:paraId="63066E67" w14:textId="03CA723C" w:rsidR="009C382A" w:rsidRDefault="009C382A">
            <w:r>
              <w:t>14:15</w:t>
            </w:r>
          </w:p>
        </w:tc>
        <w:tc>
          <w:tcPr>
            <w:tcW w:w="2970" w:type="dxa"/>
          </w:tcPr>
          <w:p w14:paraId="3B7AEEB8" w14:textId="31E45267" w:rsidR="006F0FB1" w:rsidRDefault="006F0FB1" w:rsidP="006F0FB1">
            <w:pPr>
              <w:spacing w:after="0" w:line="240" w:lineRule="auto"/>
            </w:pPr>
            <w:r>
              <w:t>Morgan Rambo, PharmD</w:t>
            </w:r>
          </w:p>
          <w:p w14:paraId="7624D09F" w14:textId="37FF5357" w:rsidR="006F0FB1" w:rsidRDefault="006F0FB1" w:rsidP="006F0FB1">
            <w:pPr>
              <w:spacing w:after="0" w:line="240" w:lineRule="auto"/>
            </w:pPr>
            <w:r>
              <w:t>Rachel Buchanan, PharmD</w:t>
            </w:r>
          </w:p>
          <w:p w14:paraId="7D646469" w14:textId="2455552E" w:rsidR="006F0FB1" w:rsidRDefault="006F0FB1" w:rsidP="006F0FB1">
            <w:pPr>
              <w:spacing w:after="0" w:line="240" w:lineRule="auto"/>
            </w:pPr>
            <w:r>
              <w:t>Victoria Donaldson, PharmD</w:t>
            </w:r>
          </w:p>
          <w:p w14:paraId="08C65105" w14:textId="1C7E58B5" w:rsidR="006F0FB1" w:rsidRDefault="006F0FB1" w:rsidP="006F0FB1">
            <w:r>
              <w:t>Brandon Duplantis, PharmD</w:t>
            </w:r>
          </w:p>
        </w:tc>
        <w:tc>
          <w:tcPr>
            <w:tcW w:w="4500" w:type="dxa"/>
          </w:tcPr>
          <w:p w14:paraId="2D2AB088" w14:textId="77777777" w:rsidR="004512CC" w:rsidRDefault="004512CC" w:rsidP="004512CC">
            <w:pPr>
              <w:pStyle w:val="ListParagraph"/>
              <w:numPr>
                <w:ilvl w:val="0"/>
                <w:numId w:val="11"/>
              </w:numPr>
              <w:autoSpaceDE w:val="0"/>
              <w:autoSpaceDN w:val="0"/>
              <w:adjustRightInd w:val="0"/>
              <w:rPr>
                <w:rFonts w:ascii="Arial" w:hAnsi="Arial" w:cs="Arial"/>
                <w:kern w:val="0"/>
                <w:sz w:val="16"/>
                <w:szCs w:val="16"/>
              </w:rPr>
            </w:pPr>
            <w:r w:rsidRPr="004512CC">
              <w:rPr>
                <w:rFonts w:ascii="Arial" w:hAnsi="Arial" w:cs="Arial"/>
                <w:kern w:val="0"/>
                <w:sz w:val="16"/>
                <w:szCs w:val="16"/>
              </w:rPr>
              <w:t>Describe the impact of early pharmacist intervention on readmission rates in a high-risk heart failure population</w:t>
            </w:r>
          </w:p>
          <w:p w14:paraId="263DAB2C" w14:textId="5BBE435A" w:rsidR="004512CC" w:rsidRPr="004512CC" w:rsidRDefault="004512CC" w:rsidP="004512CC">
            <w:pPr>
              <w:pStyle w:val="ListParagraph"/>
              <w:autoSpaceDE w:val="0"/>
              <w:autoSpaceDN w:val="0"/>
              <w:adjustRightInd w:val="0"/>
              <w:ind w:left="360"/>
              <w:rPr>
                <w:rFonts w:ascii="Arial" w:hAnsi="Arial" w:cs="Arial"/>
                <w:kern w:val="0"/>
                <w:sz w:val="16"/>
                <w:szCs w:val="16"/>
              </w:rPr>
            </w:pPr>
            <w:r w:rsidRPr="004512CC">
              <w:rPr>
                <w:rFonts w:ascii="Arial" w:hAnsi="Arial" w:cs="Arial"/>
                <w:kern w:val="0"/>
                <w:sz w:val="16"/>
                <w:szCs w:val="16"/>
              </w:rPr>
              <w:t>identified through a nationally published dashboard.</w:t>
            </w:r>
          </w:p>
          <w:p w14:paraId="26DC813D" w14:textId="77777777" w:rsidR="004512CC" w:rsidRPr="004512CC" w:rsidRDefault="004512CC" w:rsidP="004512CC">
            <w:pPr>
              <w:pStyle w:val="ListParagraph"/>
              <w:numPr>
                <w:ilvl w:val="0"/>
                <w:numId w:val="11"/>
              </w:numPr>
              <w:autoSpaceDE w:val="0"/>
              <w:autoSpaceDN w:val="0"/>
              <w:adjustRightInd w:val="0"/>
              <w:rPr>
                <w:rFonts w:ascii="Arial" w:hAnsi="Arial" w:cs="Arial"/>
                <w:kern w:val="0"/>
                <w:sz w:val="16"/>
                <w:szCs w:val="16"/>
              </w:rPr>
            </w:pPr>
            <w:r w:rsidRPr="004512CC">
              <w:rPr>
                <w:rFonts w:ascii="Arial" w:hAnsi="Arial" w:cs="Arial"/>
                <w:kern w:val="0"/>
                <w:sz w:val="16"/>
                <w:szCs w:val="16"/>
              </w:rPr>
              <w:t>Describe recent trends of outpatient antibiotic usage and assess complication rates of IV antibiotic therapy.</w:t>
            </w:r>
          </w:p>
          <w:p w14:paraId="43250049" w14:textId="2F6E2805" w:rsidR="004512CC" w:rsidRPr="004512CC" w:rsidRDefault="004512CC" w:rsidP="004512CC">
            <w:pPr>
              <w:pStyle w:val="ListParagraph"/>
              <w:numPr>
                <w:ilvl w:val="0"/>
                <w:numId w:val="11"/>
              </w:numPr>
              <w:autoSpaceDE w:val="0"/>
              <w:autoSpaceDN w:val="0"/>
              <w:adjustRightInd w:val="0"/>
              <w:rPr>
                <w:rFonts w:ascii="Arial" w:hAnsi="Arial" w:cs="Arial"/>
                <w:kern w:val="0"/>
                <w:sz w:val="16"/>
                <w:szCs w:val="16"/>
              </w:rPr>
            </w:pPr>
            <w:r w:rsidRPr="004512CC">
              <w:rPr>
                <w:rFonts w:ascii="Arial" w:hAnsi="Arial" w:cs="Arial"/>
                <w:kern w:val="0"/>
                <w:sz w:val="16"/>
                <w:szCs w:val="16"/>
              </w:rPr>
              <w:t>Describe the impact of using an updated nursing template for 2-Day Post-Discharge Calls that prompts</w:t>
            </w:r>
            <w:r>
              <w:rPr>
                <w:rFonts w:ascii="Arial" w:hAnsi="Arial" w:cs="Arial"/>
                <w:kern w:val="0"/>
                <w:sz w:val="16"/>
                <w:szCs w:val="16"/>
              </w:rPr>
              <w:t xml:space="preserve"> </w:t>
            </w:r>
            <w:r w:rsidRPr="004512CC">
              <w:rPr>
                <w:rFonts w:ascii="Arial" w:hAnsi="Arial" w:cs="Arial"/>
                <w:kern w:val="0"/>
                <w:sz w:val="16"/>
                <w:szCs w:val="16"/>
              </w:rPr>
              <w:t>consultation of other providers and assess how that affects continuity of patient care.</w:t>
            </w:r>
          </w:p>
          <w:p w14:paraId="3B1EDA00" w14:textId="29F0CC93" w:rsidR="006F0FB1" w:rsidRPr="004512CC" w:rsidRDefault="004512CC" w:rsidP="004512CC">
            <w:pPr>
              <w:pStyle w:val="ListParagraph"/>
              <w:numPr>
                <w:ilvl w:val="0"/>
                <w:numId w:val="11"/>
              </w:numPr>
              <w:autoSpaceDE w:val="0"/>
              <w:autoSpaceDN w:val="0"/>
              <w:adjustRightInd w:val="0"/>
              <w:rPr>
                <w:rFonts w:ascii="Arial" w:hAnsi="Arial" w:cs="Arial"/>
                <w:kern w:val="0"/>
                <w:sz w:val="16"/>
                <w:szCs w:val="16"/>
              </w:rPr>
            </w:pPr>
            <w:r>
              <w:rPr>
                <w:rFonts w:ascii="Arial" w:hAnsi="Arial" w:cs="Arial"/>
                <w:kern w:val="0"/>
                <w:sz w:val="16"/>
                <w:szCs w:val="16"/>
              </w:rPr>
              <w:t>D</w:t>
            </w:r>
            <w:r w:rsidRPr="004512CC">
              <w:rPr>
                <w:rFonts w:ascii="Arial" w:hAnsi="Arial" w:cs="Arial"/>
                <w:kern w:val="0"/>
                <w:sz w:val="16"/>
                <w:szCs w:val="16"/>
              </w:rPr>
              <w:t>escribe the effectiveness of academic detailing on pharmacogenomic testing ordering by clinicians at a</w:t>
            </w:r>
            <w:r>
              <w:rPr>
                <w:rFonts w:ascii="Arial" w:hAnsi="Arial" w:cs="Arial"/>
                <w:kern w:val="0"/>
                <w:sz w:val="16"/>
                <w:szCs w:val="16"/>
              </w:rPr>
              <w:t xml:space="preserve"> </w:t>
            </w:r>
            <w:r w:rsidRPr="004512CC">
              <w:rPr>
                <w:rFonts w:ascii="Arial" w:hAnsi="Arial" w:cs="Arial"/>
                <w:kern w:val="0"/>
                <w:sz w:val="16"/>
                <w:szCs w:val="16"/>
              </w:rPr>
              <w:t>Veterans Affairs Health Care System.</w:t>
            </w:r>
          </w:p>
        </w:tc>
        <w:tc>
          <w:tcPr>
            <w:tcW w:w="1095" w:type="dxa"/>
          </w:tcPr>
          <w:p w14:paraId="299DF9C8" w14:textId="30022002" w:rsidR="006F0FB1" w:rsidRDefault="004512CC">
            <w:r>
              <w:t>1</w:t>
            </w:r>
          </w:p>
        </w:tc>
        <w:tc>
          <w:tcPr>
            <w:tcW w:w="2590" w:type="dxa"/>
          </w:tcPr>
          <w:p w14:paraId="2C8447F2" w14:textId="04A4E830" w:rsidR="006F0FB1" w:rsidRDefault="004512CC">
            <w:pPr>
              <w:rPr>
                <w:rFonts w:ascii="Arial" w:hAnsi="Arial" w:cs="Arial"/>
                <w:b/>
                <w:bCs/>
                <w:kern w:val="0"/>
                <w:sz w:val="16"/>
                <w:szCs w:val="16"/>
              </w:rPr>
            </w:pPr>
            <w:r>
              <w:rPr>
                <w:rFonts w:ascii="Arial" w:hAnsi="Arial" w:cs="Arial"/>
                <w:b/>
                <w:bCs/>
                <w:kern w:val="0"/>
                <w:sz w:val="16"/>
                <w:szCs w:val="16"/>
              </w:rPr>
              <w:t>0172-0000-23-015-L01-P</w:t>
            </w:r>
          </w:p>
        </w:tc>
      </w:tr>
      <w:tr w:rsidR="006F0FB1" w14:paraId="1AE126D5" w14:textId="77777777" w:rsidTr="00BA6A0F">
        <w:tc>
          <w:tcPr>
            <w:tcW w:w="1795" w:type="dxa"/>
          </w:tcPr>
          <w:p w14:paraId="27F4A2C2" w14:textId="77777777" w:rsidR="006F0FB1" w:rsidRPr="009C382A" w:rsidRDefault="004512CC">
            <w:pPr>
              <w:rPr>
                <w:b/>
                <w:bCs/>
              </w:rPr>
            </w:pPr>
            <w:r w:rsidRPr="009C382A">
              <w:rPr>
                <w:b/>
                <w:bCs/>
              </w:rPr>
              <w:t>3-4</w:t>
            </w:r>
          </w:p>
          <w:p w14:paraId="2F2DA188" w14:textId="4C368C85" w:rsidR="009C382A" w:rsidRDefault="009C382A">
            <w:r>
              <w:t>15:25</w:t>
            </w:r>
          </w:p>
        </w:tc>
        <w:tc>
          <w:tcPr>
            <w:tcW w:w="2970" w:type="dxa"/>
          </w:tcPr>
          <w:p w14:paraId="33B2402D" w14:textId="1D9339AD" w:rsidR="004512CC" w:rsidRDefault="004512CC" w:rsidP="004512CC">
            <w:pPr>
              <w:spacing w:after="0" w:line="240" w:lineRule="auto"/>
            </w:pPr>
            <w:r>
              <w:t>Tyler Mitchell, PharmD</w:t>
            </w:r>
          </w:p>
          <w:p w14:paraId="5854DB08" w14:textId="3418711F" w:rsidR="004512CC" w:rsidRDefault="004512CC" w:rsidP="004512CC">
            <w:pPr>
              <w:spacing w:after="0" w:line="240" w:lineRule="auto"/>
            </w:pPr>
            <w:r>
              <w:t>Robyn Best, PharmD</w:t>
            </w:r>
          </w:p>
          <w:p w14:paraId="4A63B632" w14:textId="6F43F45D" w:rsidR="004512CC" w:rsidRDefault="004512CC" w:rsidP="004512CC">
            <w:pPr>
              <w:spacing w:after="0" w:line="240" w:lineRule="auto"/>
            </w:pPr>
            <w:r>
              <w:t>William Carleton, PharmD</w:t>
            </w:r>
          </w:p>
          <w:p w14:paraId="6E517267" w14:textId="080E940C" w:rsidR="004512CC" w:rsidRDefault="004512CC" w:rsidP="004512CC">
            <w:pPr>
              <w:spacing w:after="0" w:line="240" w:lineRule="auto"/>
            </w:pPr>
            <w:r>
              <w:t>James Miracle, PharmD</w:t>
            </w:r>
          </w:p>
          <w:p w14:paraId="049AAC69" w14:textId="327E3691" w:rsidR="006F0FB1" w:rsidRDefault="004512CC" w:rsidP="004512CC">
            <w:r>
              <w:t>Anna-Kathryn Priest, PharmD</w:t>
            </w:r>
          </w:p>
        </w:tc>
        <w:tc>
          <w:tcPr>
            <w:tcW w:w="4500" w:type="dxa"/>
          </w:tcPr>
          <w:p w14:paraId="67501631" w14:textId="7C226AD0" w:rsidR="004512CC" w:rsidRPr="004512CC" w:rsidRDefault="004512CC" w:rsidP="004512CC">
            <w:pPr>
              <w:pStyle w:val="ListParagraph"/>
              <w:numPr>
                <w:ilvl w:val="0"/>
                <w:numId w:val="12"/>
              </w:numPr>
              <w:autoSpaceDE w:val="0"/>
              <w:autoSpaceDN w:val="0"/>
              <w:adjustRightInd w:val="0"/>
              <w:rPr>
                <w:rFonts w:ascii="Arial" w:hAnsi="Arial" w:cs="Arial"/>
                <w:kern w:val="0"/>
                <w:sz w:val="16"/>
                <w:szCs w:val="16"/>
              </w:rPr>
            </w:pPr>
            <w:r w:rsidRPr="004512CC">
              <w:rPr>
                <w:rFonts w:ascii="Arial" w:hAnsi="Arial" w:cs="Arial"/>
                <w:kern w:val="0"/>
                <w:sz w:val="16"/>
                <w:szCs w:val="16"/>
              </w:rPr>
              <w:t xml:space="preserve">Describe the outcomes of adding positive </w:t>
            </w:r>
            <w:proofErr w:type="spellStart"/>
            <w:r w:rsidRPr="004512CC">
              <w:rPr>
                <w:rFonts w:ascii="Arial" w:hAnsi="Arial" w:cs="Arial"/>
                <w:kern w:val="0"/>
                <w:sz w:val="16"/>
                <w:szCs w:val="16"/>
              </w:rPr>
              <w:t>Clostridioides</w:t>
            </w:r>
            <w:proofErr w:type="spellEnd"/>
            <w:r w:rsidRPr="004512CC">
              <w:rPr>
                <w:rFonts w:ascii="Arial" w:hAnsi="Arial" w:cs="Arial"/>
                <w:kern w:val="0"/>
                <w:sz w:val="16"/>
                <w:szCs w:val="16"/>
              </w:rPr>
              <w:t xml:space="preserve"> difficile results to the physician notification protocol at a</w:t>
            </w:r>
            <w:r w:rsidRPr="004512CC">
              <w:rPr>
                <w:rFonts w:ascii="Arial" w:hAnsi="Arial" w:cs="Arial"/>
                <w:kern w:val="0"/>
                <w:sz w:val="16"/>
                <w:szCs w:val="16"/>
              </w:rPr>
              <w:t xml:space="preserve"> </w:t>
            </w:r>
            <w:r w:rsidRPr="004512CC">
              <w:rPr>
                <w:rFonts w:ascii="Arial" w:hAnsi="Arial" w:cs="Arial"/>
                <w:kern w:val="0"/>
                <w:sz w:val="16"/>
                <w:szCs w:val="16"/>
              </w:rPr>
              <w:t>community hospital.</w:t>
            </w:r>
          </w:p>
          <w:p w14:paraId="06705422" w14:textId="77777777" w:rsidR="004512CC" w:rsidRPr="004512CC" w:rsidRDefault="004512CC" w:rsidP="004512CC">
            <w:pPr>
              <w:pStyle w:val="ListParagraph"/>
              <w:numPr>
                <w:ilvl w:val="0"/>
                <w:numId w:val="12"/>
              </w:numPr>
              <w:autoSpaceDE w:val="0"/>
              <w:autoSpaceDN w:val="0"/>
              <w:adjustRightInd w:val="0"/>
              <w:rPr>
                <w:rFonts w:ascii="Arial" w:hAnsi="Arial" w:cs="Arial"/>
                <w:kern w:val="0"/>
                <w:sz w:val="16"/>
                <w:szCs w:val="16"/>
              </w:rPr>
            </w:pPr>
            <w:r w:rsidRPr="004512CC">
              <w:rPr>
                <w:rFonts w:ascii="Arial" w:hAnsi="Arial" w:cs="Arial"/>
                <w:kern w:val="0"/>
                <w:sz w:val="16"/>
                <w:szCs w:val="16"/>
              </w:rPr>
              <w:t>Discuss the appropriate utilization of famotidine for stress ulcer prophylaxis (SUP).</w:t>
            </w:r>
          </w:p>
          <w:p w14:paraId="3E657965" w14:textId="797B0532" w:rsidR="004512CC" w:rsidRPr="004512CC" w:rsidRDefault="004512CC" w:rsidP="004512CC">
            <w:pPr>
              <w:pStyle w:val="ListParagraph"/>
              <w:numPr>
                <w:ilvl w:val="0"/>
                <w:numId w:val="12"/>
              </w:numPr>
              <w:autoSpaceDE w:val="0"/>
              <w:autoSpaceDN w:val="0"/>
              <w:adjustRightInd w:val="0"/>
              <w:rPr>
                <w:rFonts w:ascii="Arial" w:hAnsi="Arial" w:cs="Arial"/>
                <w:kern w:val="0"/>
                <w:sz w:val="16"/>
                <w:szCs w:val="16"/>
              </w:rPr>
            </w:pPr>
            <w:r w:rsidRPr="004512CC">
              <w:rPr>
                <w:rFonts w:ascii="Arial" w:hAnsi="Arial" w:cs="Arial"/>
                <w:kern w:val="0"/>
                <w:sz w:val="16"/>
                <w:szCs w:val="16"/>
              </w:rPr>
              <w:t>Identify the difference between time on mechanical ventilation when vecuronium is administered as a</w:t>
            </w:r>
            <w:r w:rsidRPr="004512CC">
              <w:rPr>
                <w:rFonts w:ascii="Arial" w:hAnsi="Arial" w:cs="Arial"/>
                <w:kern w:val="0"/>
                <w:sz w:val="16"/>
                <w:szCs w:val="16"/>
              </w:rPr>
              <w:t xml:space="preserve"> </w:t>
            </w:r>
            <w:r w:rsidRPr="004512CC">
              <w:rPr>
                <w:rFonts w:ascii="Arial" w:hAnsi="Arial" w:cs="Arial"/>
                <w:kern w:val="0"/>
                <w:sz w:val="16"/>
                <w:szCs w:val="16"/>
              </w:rPr>
              <w:t>continuous infusion or an intermittent push in patients with acute respiratory distress syndrome (ARDS).</w:t>
            </w:r>
          </w:p>
          <w:p w14:paraId="55EEDC8D" w14:textId="77777777" w:rsidR="004512CC" w:rsidRPr="004512CC" w:rsidRDefault="004512CC" w:rsidP="004512CC">
            <w:pPr>
              <w:pStyle w:val="ListParagraph"/>
              <w:numPr>
                <w:ilvl w:val="0"/>
                <w:numId w:val="12"/>
              </w:numPr>
              <w:autoSpaceDE w:val="0"/>
              <w:autoSpaceDN w:val="0"/>
              <w:adjustRightInd w:val="0"/>
              <w:rPr>
                <w:rFonts w:ascii="Arial" w:hAnsi="Arial" w:cs="Arial"/>
                <w:kern w:val="0"/>
                <w:sz w:val="16"/>
                <w:szCs w:val="16"/>
              </w:rPr>
            </w:pPr>
            <w:r w:rsidRPr="004512CC">
              <w:rPr>
                <w:rFonts w:ascii="Arial" w:hAnsi="Arial" w:cs="Arial"/>
                <w:kern w:val="0"/>
                <w:sz w:val="16"/>
                <w:szCs w:val="16"/>
              </w:rPr>
              <w:t>Describe the role of the ED pharmacist with respect to outpatient urine culture follow-up.</w:t>
            </w:r>
          </w:p>
          <w:p w14:paraId="3CD4EEFE" w14:textId="478FE44A" w:rsidR="006F0FB1" w:rsidRPr="004512CC" w:rsidRDefault="004512CC" w:rsidP="004512CC">
            <w:pPr>
              <w:pStyle w:val="ListParagraph"/>
              <w:numPr>
                <w:ilvl w:val="0"/>
                <w:numId w:val="12"/>
              </w:numPr>
              <w:autoSpaceDE w:val="0"/>
              <w:autoSpaceDN w:val="0"/>
              <w:adjustRightInd w:val="0"/>
              <w:rPr>
                <w:rFonts w:ascii="Arial" w:hAnsi="Arial" w:cs="Arial"/>
                <w:kern w:val="0"/>
                <w:sz w:val="16"/>
                <w:szCs w:val="16"/>
              </w:rPr>
            </w:pPr>
            <w:r w:rsidRPr="004512CC">
              <w:rPr>
                <w:rFonts w:ascii="Arial" w:hAnsi="Arial" w:cs="Arial"/>
                <w:kern w:val="0"/>
                <w:sz w:val="16"/>
                <w:szCs w:val="16"/>
              </w:rPr>
              <w:t>Describe the role of the emergency department pharmacist with respect to outpatient blood culture follow-up.</w:t>
            </w:r>
          </w:p>
        </w:tc>
        <w:tc>
          <w:tcPr>
            <w:tcW w:w="1095" w:type="dxa"/>
          </w:tcPr>
          <w:p w14:paraId="4FE15E9D" w14:textId="3D0788E1" w:rsidR="006F0FB1" w:rsidRDefault="004512CC">
            <w:r>
              <w:t>1.25</w:t>
            </w:r>
          </w:p>
        </w:tc>
        <w:tc>
          <w:tcPr>
            <w:tcW w:w="2590" w:type="dxa"/>
          </w:tcPr>
          <w:p w14:paraId="13F78CCC" w14:textId="557B44BB" w:rsidR="006F0FB1" w:rsidRDefault="004512CC">
            <w:pPr>
              <w:rPr>
                <w:rFonts w:ascii="Arial" w:hAnsi="Arial" w:cs="Arial"/>
                <w:b/>
                <w:bCs/>
                <w:kern w:val="0"/>
                <w:sz w:val="16"/>
                <w:szCs w:val="16"/>
              </w:rPr>
            </w:pPr>
            <w:r>
              <w:rPr>
                <w:rFonts w:ascii="Arial" w:hAnsi="Arial" w:cs="Arial"/>
                <w:b/>
                <w:bCs/>
                <w:kern w:val="0"/>
                <w:sz w:val="16"/>
                <w:szCs w:val="16"/>
              </w:rPr>
              <w:t>0172-0000-23-016-L01-P</w:t>
            </w:r>
          </w:p>
        </w:tc>
      </w:tr>
    </w:tbl>
    <w:p w14:paraId="16FE212F" w14:textId="77777777" w:rsidR="00314EF3" w:rsidRDefault="00314EF3"/>
    <w:sectPr w:rsidR="00314EF3" w:rsidSect="00314E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4AC"/>
    <w:multiLevelType w:val="hybridMultilevel"/>
    <w:tmpl w:val="BECC2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3200B"/>
    <w:multiLevelType w:val="hybridMultilevel"/>
    <w:tmpl w:val="FFE0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178D5"/>
    <w:multiLevelType w:val="hybridMultilevel"/>
    <w:tmpl w:val="9ED01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E2C52"/>
    <w:multiLevelType w:val="hybridMultilevel"/>
    <w:tmpl w:val="0C940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54FA4"/>
    <w:multiLevelType w:val="hybridMultilevel"/>
    <w:tmpl w:val="231E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91271"/>
    <w:multiLevelType w:val="hybridMultilevel"/>
    <w:tmpl w:val="712C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5250E5"/>
    <w:multiLevelType w:val="hybridMultilevel"/>
    <w:tmpl w:val="3A8EC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F160E8"/>
    <w:multiLevelType w:val="hybridMultilevel"/>
    <w:tmpl w:val="BC02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1401BE"/>
    <w:multiLevelType w:val="hybridMultilevel"/>
    <w:tmpl w:val="2D10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B213E4"/>
    <w:multiLevelType w:val="hybridMultilevel"/>
    <w:tmpl w:val="805A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B3061"/>
    <w:multiLevelType w:val="hybridMultilevel"/>
    <w:tmpl w:val="7BEC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2814F0"/>
    <w:multiLevelType w:val="hybridMultilevel"/>
    <w:tmpl w:val="FF1A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4744321">
    <w:abstractNumId w:val="10"/>
  </w:num>
  <w:num w:numId="2" w16cid:durableId="1986083583">
    <w:abstractNumId w:val="11"/>
  </w:num>
  <w:num w:numId="3" w16cid:durableId="1821384583">
    <w:abstractNumId w:val="4"/>
  </w:num>
  <w:num w:numId="4" w16cid:durableId="560137352">
    <w:abstractNumId w:val="0"/>
  </w:num>
  <w:num w:numId="5" w16cid:durableId="1264075674">
    <w:abstractNumId w:val="3"/>
  </w:num>
  <w:num w:numId="6" w16cid:durableId="1124882526">
    <w:abstractNumId w:val="9"/>
  </w:num>
  <w:num w:numId="7" w16cid:durableId="2021272633">
    <w:abstractNumId w:val="5"/>
  </w:num>
  <w:num w:numId="8" w16cid:durableId="898439162">
    <w:abstractNumId w:val="2"/>
  </w:num>
  <w:num w:numId="9" w16cid:durableId="553809522">
    <w:abstractNumId w:val="7"/>
  </w:num>
  <w:num w:numId="10" w16cid:durableId="1726371502">
    <w:abstractNumId w:val="1"/>
  </w:num>
  <w:num w:numId="11" w16cid:durableId="1544436861">
    <w:abstractNumId w:val="6"/>
  </w:num>
  <w:num w:numId="12" w16cid:durableId="1563830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F3"/>
    <w:rsid w:val="00181FA0"/>
    <w:rsid w:val="00314EF3"/>
    <w:rsid w:val="004512CC"/>
    <w:rsid w:val="006F0FB1"/>
    <w:rsid w:val="009C382A"/>
    <w:rsid w:val="00B407F6"/>
    <w:rsid w:val="00B83B46"/>
    <w:rsid w:val="00B938F1"/>
    <w:rsid w:val="00BA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80E4"/>
  <w15:chartTrackingRefBased/>
  <w15:docId w15:val="{B10C1468-B377-4817-BAAA-93671F7D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EF3"/>
    <w:rPr>
      <w:color w:val="0000FF"/>
      <w:u w:val="single"/>
    </w:rPr>
  </w:style>
  <w:style w:type="table" w:styleId="TableGrid">
    <w:name w:val="Table Grid"/>
    <w:basedOn w:val="TableNormal"/>
    <w:uiPriority w:val="39"/>
    <w:rsid w:val="0031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alsh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shp.wildapricot.org/resources/Documents/ALSHP%20Meetings%20and%20Events%20Terms%20and%20Conditions%203-24-2022%20v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Gillis</dc:creator>
  <cp:keywords/>
  <dc:description/>
  <cp:lastModifiedBy>Rebecca Gillis</cp:lastModifiedBy>
  <cp:revision>4</cp:revision>
  <dcterms:created xsi:type="dcterms:W3CDTF">2023-04-04T19:09:00Z</dcterms:created>
  <dcterms:modified xsi:type="dcterms:W3CDTF">2023-04-04T20:02:00Z</dcterms:modified>
</cp:coreProperties>
</file>